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p>
    <w:p>
      <w:pPr>
        <w:jc w:val="center"/>
        <w:rPr>
          <w:rFonts w:ascii="仿宋_GB2312" w:eastAsia="仿宋_GB2312"/>
        </w:rPr>
      </w:pPr>
    </w:p>
    <w:p>
      <w:pPr>
        <w:jc w:val="center"/>
        <w:rPr>
          <w:rFonts w:ascii="方正小标宋简体" w:eastAsia="方正小标宋简体"/>
          <w:spacing w:val="60"/>
          <w:sz w:val="74"/>
        </w:rPr>
      </w:pPr>
      <w:r>
        <w:rPr>
          <w:rFonts w:hint="eastAsia" w:ascii="方正小标宋简体" w:eastAsia="方正小标宋简体"/>
          <w:spacing w:val="60"/>
          <w:sz w:val="74"/>
        </w:rPr>
        <w:t>2020年度</w:t>
      </w:r>
    </w:p>
    <w:p>
      <w:pPr>
        <w:jc w:val="center"/>
        <w:rPr>
          <w:rFonts w:ascii="方正小标宋简体" w:eastAsia="方正小标宋简体"/>
          <w:spacing w:val="60"/>
          <w:sz w:val="74"/>
        </w:rPr>
      </w:pPr>
      <w:r>
        <w:rPr>
          <w:rFonts w:hint="eastAsia" w:ascii="方正小标宋简体" w:eastAsia="方正小标宋简体"/>
          <w:spacing w:val="60"/>
          <w:sz w:val="74"/>
          <w:lang w:eastAsia="zh-CN"/>
        </w:rPr>
        <w:t>济宁市人民政府外事办公室单位</w:t>
      </w:r>
      <w:r>
        <w:rPr>
          <w:rFonts w:hint="eastAsia" w:ascii="方正小标宋简体" w:eastAsia="方正小标宋简体"/>
          <w:spacing w:val="60"/>
          <w:sz w:val="74"/>
        </w:rPr>
        <w:t>决算</w:t>
      </w:r>
    </w:p>
    <w:p>
      <w:pPr>
        <w:jc w:val="center"/>
        <w:rPr>
          <w:rFonts w:ascii="楷体_GB2312" w:eastAsia="楷体_GB2312"/>
          <w:b/>
          <w:sz w:val="42"/>
        </w:rPr>
      </w:pPr>
    </w:p>
    <w:p>
      <w:pPr>
        <w:jc w:val="center"/>
        <w:rPr>
          <w:rFonts w:ascii="楷体_GB2312" w:eastAsia="楷体_GB2312"/>
          <w:b/>
          <w:sz w:val="42"/>
        </w:rPr>
      </w:pPr>
    </w:p>
    <w:p>
      <w:pPr>
        <w:jc w:val="center"/>
        <w:rPr>
          <w:rFonts w:ascii="仿宋_GB2312" w:eastAsia="仿宋_GB2312"/>
        </w:rPr>
      </w:pPr>
    </w:p>
    <w:p>
      <w:pPr>
        <w:rPr>
          <w:rFonts w:ascii="仿宋_GB2312" w:eastAsia="仿宋_GB2312"/>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p>
    <w:p>
      <w:pPr>
        <w:spacing w:afterLines="50" w:line="580" w:lineRule="exact"/>
        <w:jc w:val="both"/>
        <w:rPr>
          <w:rFonts w:ascii="方正小标宋简体" w:eastAsia="方正小标宋简体"/>
          <w:sz w:val="44"/>
          <w:szCs w:val="44"/>
        </w:rPr>
      </w:pPr>
    </w:p>
    <w:p>
      <w:pPr>
        <w:spacing w:afterLines="50" w:line="580" w:lineRule="exact"/>
        <w:jc w:val="both"/>
        <w:rPr>
          <w:rFonts w:ascii="方正小标宋简体" w:eastAsia="方正小标宋简体"/>
          <w:sz w:val="44"/>
          <w:szCs w:val="44"/>
        </w:rPr>
      </w:pPr>
    </w:p>
    <w:p>
      <w:pPr>
        <w:spacing w:afterLines="50" w:line="580" w:lineRule="exact"/>
        <w:jc w:val="both"/>
        <w:rPr>
          <w:rFonts w:ascii="方正小标宋简体" w:eastAsia="方正小标宋简体"/>
          <w:sz w:val="44"/>
          <w:szCs w:val="44"/>
        </w:rPr>
      </w:pPr>
    </w:p>
    <w:p>
      <w:pPr>
        <w:spacing w:afterLines="50" w:line="580" w:lineRule="exact"/>
        <w:jc w:val="both"/>
        <w:rPr>
          <w:rFonts w:ascii="方正小标宋简体" w:eastAsia="方正小标宋简体"/>
          <w:sz w:val="44"/>
          <w:szCs w:val="44"/>
        </w:rPr>
      </w:pPr>
    </w:p>
    <w:p>
      <w:pPr>
        <w:spacing w:afterLines="50" w:line="580" w:lineRule="exact"/>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单位</w:t>
      </w:r>
      <w:r>
        <w:rPr>
          <w:rFonts w:hint="eastAsia" w:ascii="黑体" w:hAnsi="黑体" w:eastAsia="黑体"/>
          <w:sz w:val="32"/>
          <w:szCs w:val="32"/>
        </w:rPr>
        <w:t>概况</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单位</w:t>
      </w:r>
      <w:r>
        <w:rPr>
          <w:rFonts w:hint="eastAsia" w:ascii="仿宋_GB2312" w:eastAsia="仿宋_GB2312"/>
          <w:sz w:val="32"/>
          <w:szCs w:val="32"/>
        </w:rPr>
        <w:t>职责</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二、机构设置</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第二部分  2020年度</w:t>
      </w:r>
      <w:r>
        <w:rPr>
          <w:rFonts w:hint="eastAsia" w:ascii="黑体" w:hAnsi="黑体" w:eastAsia="黑体"/>
          <w:sz w:val="32"/>
          <w:szCs w:val="32"/>
          <w:lang w:eastAsia="zh-CN"/>
        </w:rPr>
        <w:t>单位</w:t>
      </w:r>
      <w:r>
        <w:rPr>
          <w:rFonts w:hint="eastAsia" w:ascii="黑体" w:hAnsi="黑体" w:eastAsia="黑体"/>
          <w:sz w:val="32"/>
          <w:szCs w:val="32"/>
        </w:rPr>
        <w:t>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第三部分  2020年度</w:t>
      </w:r>
      <w:r>
        <w:rPr>
          <w:rFonts w:hint="eastAsia" w:ascii="黑体" w:hAnsi="黑体" w:eastAsia="黑体"/>
          <w:sz w:val="32"/>
          <w:szCs w:val="32"/>
          <w:lang w:eastAsia="zh-CN"/>
        </w:rPr>
        <w:t>单位</w:t>
      </w:r>
      <w:r>
        <w:rPr>
          <w:rFonts w:hint="eastAsia" w:ascii="黑体" w:hAnsi="黑体" w:eastAsia="黑体"/>
          <w:sz w:val="32"/>
          <w:szCs w:val="32"/>
        </w:rPr>
        <w:t>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二、收入决算情况说明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三、支出决算情况说明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八、政府性基金预算财政拨款收入支出决算情况说明</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spacing w:line="580" w:lineRule="exact"/>
        <w:ind w:firstLine="632" w:firstLineChars="200"/>
        <w:rPr>
          <w:rFonts w:ascii="仿宋_GB2312" w:eastAsia="仿宋_GB2312"/>
          <w:sz w:val="32"/>
          <w:szCs w:val="32"/>
        </w:rPr>
      </w:pPr>
      <w:r>
        <w:rPr>
          <w:rFonts w:hint="eastAsia" w:ascii="仿宋_GB2312" w:eastAsia="仿宋_GB2312"/>
          <w:sz w:val="32"/>
          <w:szCs w:val="32"/>
        </w:rPr>
        <w:t>十、重要事项情况说明</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第四部分  名词解释</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第五部分  附件 </w:t>
      </w:r>
    </w:p>
    <w:p>
      <w:pPr>
        <w:spacing w:line="580" w:lineRule="exact"/>
        <w:ind w:firstLine="316" w:firstLineChars="100"/>
        <w:rPr>
          <w:rFonts w:ascii="黑体" w:hAnsi="黑体" w:eastAsia="黑体"/>
          <w:sz w:val="32"/>
          <w:szCs w:val="32"/>
        </w:rPr>
      </w:pPr>
      <w:r>
        <w:rPr>
          <w:rFonts w:hint="eastAsia" w:ascii="黑体" w:hAnsi="黑体" w:eastAsia="黑体"/>
          <w:sz w:val="32"/>
          <w:szCs w:val="32"/>
        </w:rPr>
        <w:t xml:space="preserve"> </w:t>
      </w: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tabs>
          <w:tab w:val="left" w:pos="549"/>
        </w:tabs>
        <w:jc w:val="left"/>
        <w:rPr>
          <w:rFonts w:hint="eastAsia" w:ascii="方正小标宋简体" w:eastAsia="方正小标宋简体"/>
          <w:sz w:val="42"/>
          <w:lang w:eastAsia="zh-CN"/>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第一部分</w:t>
      </w: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lang w:eastAsia="zh-CN"/>
        </w:rPr>
        <w:t>单位</w:t>
      </w:r>
      <w:r>
        <w:rPr>
          <w:rFonts w:hint="eastAsia" w:ascii="方正小标宋简体" w:eastAsia="方正小标宋简体"/>
          <w:spacing w:val="60"/>
          <w:sz w:val="48"/>
        </w:rPr>
        <w:t>概况</w:t>
      </w:r>
    </w:p>
    <w:p>
      <w:pPr>
        <w:jc w:val="center"/>
        <w:rPr>
          <w:rFonts w:ascii="仿宋_GB2312" w:eastAsia="仿宋_GB2312"/>
        </w:rPr>
        <w:sectPr>
          <w:headerReference r:id="rId3" w:type="default"/>
          <w:footerReference r:id="rId4" w:type="default"/>
          <w:pgSz w:w="11906" w:h="16838"/>
          <w:pgMar w:top="1701" w:right="1531" w:bottom="1701" w:left="1531" w:header="0" w:footer="1418" w:gutter="0"/>
          <w:cols w:space="720" w:num="1"/>
          <w:docGrid w:type="linesAndChars" w:linePitch="610" w:charSpace="-849"/>
        </w:sectPr>
      </w:pPr>
    </w:p>
    <w:p>
      <w:pPr>
        <w:ind w:firstLine="632" w:firstLineChars="200"/>
        <w:rPr>
          <w:rFonts w:ascii="黑体" w:hAnsi="黑体" w:eastAsia="黑体"/>
          <w:sz w:val="32"/>
          <w:szCs w:val="32"/>
        </w:rPr>
      </w:pPr>
      <w:r>
        <w:rPr>
          <w:rFonts w:hint="eastAsia" w:ascii="黑体" w:hAnsi="黑体" w:eastAsia="黑体"/>
          <w:sz w:val="32"/>
          <w:szCs w:val="32"/>
        </w:rPr>
        <w:t>一、部门职责</w:t>
      </w:r>
    </w:p>
    <w:p>
      <w:pPr>
        <w:ind w:firstLine="632" w:firstLineChars="200"/>
        <w:rPr>
          <w:rFonts w:ascii="仿宋_GB2312" w:eastAsia="仿宋_GB2312"/>
          <w:sz w:val="32"/>
          <w:szCs w:val="32"/>
        </w:rPr>
      </w:pPr>
      <w:r>
        <w:rPr>
          <w:rFonts w:ascii="仿宋_GB2312" w:eastAsia="仿宋_GB2312"/>
          <w:sz w:val="32"/>
          <w:szCs w:val="32"/>
          <w:lang w:val="en-US" w:eastAsia="zh-CN"/>
        </w:rPr>
        <w:t>贯彻执行外事工作法律法规和方针政策，以及市委、市政府关于外事工作的决策部署，综合归口管理全市执行党和国家对外方针政策的有关工作，拟订外事工作的制度规则；统筹协调重要外事事项；利用对外交往渠道，为全市经济建设和社会发展服务；承办各县（市、区）、各部门单位报请市委、市政府审核、审批的外事工作有关事项；统筹协调和归口管理全市因公 临时出国和外国人来华邀请工作；负责组织接待来我市访问的党宾、国宾和 其他重要外宾；负责外国驻华使节来我市进行公务活动的有关事务；负责在我市举办的国际会议、涉外节庆活动的审核申报以及礼宾指导工作；综合归口管理我市涉及外国驻鲁领事机构的重大外事事项；指导、协调有关部门单位与外国领事机构的交往活动；管理全市与外国友好城市以及其他结好单位的交往活动，办理对外结好的报批事宜；指导全市民间对外交往工作；负责授予外国友人荣誉公民称号有关工作；负责我市社会组织参与国际非政府组织活动协调管理工作；会同有关部门管理我市口岸的外事业务和涉外事宜；牵头协调处理涉外案（事）件以及涉外突发事件；协助我驻外领事机构处理 境外领事保护案（事）件；处理或者协助有关单位处理涉及外国人管理工作的重要事项；负责全市外事干部和涉外人员对外政策和外事纪律教育工作；负责外事干部业务培训工作；组织开展外事宣传和群众性外事教育工作；办理我市外国记者有关事务；配合纪检监察机关检查外事纪律执行情况；承担人才工作相关职责；负责贯彻落实全面从严治党要求，切实履行机关党建工作、党风廉政建设和意识形态主体责任，领导所属单位抓好党的建设工作； 完成市委、市政府交办的其他任务。</w:t>
      </w:r>
    </w:p>
    <w:p>
      <w:pPr>
        <w:ind w:firstLine="632" w:firstLineChars="200"/>
        <w:rPr>
          <w:rFonts w:ascii="黑体" w:hAnsi="黑体" w:eastAsia="黑体"/>
          <w:sz w:val="32"/>
          <w:szCs w:val="32"/>
        </w:rPr>
      </w:pPr>
      <w:r>
        <w:rPr>
          <w:rFonts w:hint="eastAsia" w:ascii="黑体" w:hAnsi="黑体" w:eastAsia="黑体"/>
          <w:sz w:val="32"/>
          <w:szCs w:val="32"/>
        </w:rPr>
        <w:t>二、机构设置</w:t>
      </w:r>
    </w:p>
    <w:p>
      <w:pPr>
        <w:keepNext w:val="0"/>
        <w:keepLines w:val="0"/>
        <w:widowControl/>
        <w:suppressLineNumbers w:val="0"/>
        <w:ind w:firstLine="632" w:firstLineChars="200"/>
        <w:jc w:val="left"/>
        <w:rPr>
          <w:rFonts w:hint="eastAsia" w:ascii="仿宋_GB2312" w:eastAsia="仿宋_GB2312"/>
          <w:sz w:val="32"/>
          <w:szCs w:val="32"/>
          <w:lang w:val="en-US" w:eastAsia="zh-CN"/>
        </w:rPr>
      </w:pPr>
      <w:r>
        <w:rPr>
          <w:rFonts w:ascii="仿宋_GB2312" w:eastAsia="仿宋_GB2312"/>
          <w:sz w:val="32"/>
          <w:szCs w:val="32"/>
          <w:lang w:val="en-US" w:eastAsia="zh-CN"/>
        </w:rPr>
        <w:t>根据组织人事部门批准，我单位内设职能科室有：综合科、因公出国管理科、涉外管理科、礼宾科</w:t>
      </w:r>
      <w:r>
        <w:rPr>
          <w:rFonts w:hint="eastAsia" w:ascii="仿宋_GB2312" w:eastAsia="仿宋_GB2312"/>
          <w:sz w:val="32"/>
          <w:szCs w:val="32"/>
          <w:lang w:val="en-US" w:eastAsia="zh-CN"/>
        </w:rPr>
        <w:t>。</w:t>
      </w:r>
      <w:r>
        <w:rPr>
          <w:rFonts w:ascii="仿宋_GB2312" w:eastAsia="仿宋_GB2312"/>
          <w:sz w:val="32"/>
          <w:szCs w:val="32"/>
          <w:lang w:val="en-US" w:eastAsia="zh-CN"/>
        </w:rPr>
        <w:t>济宁市人民政府外事办公室部门预算包括：市外办。 纳入济宁市人民政府外事办公室2021年部门预算编制范围的二级预算单位包括：市外办。</w:t>
      </w:r>
      <w:r>
        <w:rPr>
          <w:rFonts w:hint="default" w:ascii="仿宋_GB2312" w:eastAsia="仿宋_GB2312"/>
          <w:sz w:val="32"/>
          <w:szCs w:val="32"/>
          <w:lang w:val="en-US" w:eastAsia="zh-CN"/>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Style w:val="16"/>
          <w:rFonts w:hint="default" w:ascii="Calibri" w:hAnsi="Calibri" w:eastAsia="黑体" w:cs="Calibri"/>
          <w:b/>
          <w:i w:val="0"/>
          <w:caps w:val="0"/>
          <w:color w:val="auto"/>
          <w:spacing w:val="0"/>
          <w:sz w:val="24"/>
          <w:szCs w:val="24"/>
          <w:u w:val="none"/>
          <w:shd w:val="clear" w:fill="FFFFFF"/>
        </w:rPr>
      </w:pPr>
      <w:r>
        <w:rPr>
          <w:rStyle w:val="16"/>
          <w:rFonts w:hint="default" w:ascii="Calibri" w:hAnsi="Calibri" w:eastAsia="黑体" w:cs="Calibri"/>
          <w:b/>
          <w:i w:val="0"/>
          <w:caps w:val="0"/>
          <w:color w:val="auto"/>
          <w:spacing w:val="0"/>
          <w:sz w:val="24"/>
          <w:szCs w:val="24"/>
          <w:u w:val="none"/>
          <w:shd w:val="clear" w:fill="FFFFFF"/>
        </w:rPr>
        <w:t> </w:t>
      </w:r>
    </w:p>
    <w:p>
      <w:pPr>
        <w:rPr>
          <w:rFonts w:ascii="方正小标宋简体" w:eastAsia="方正小标宋简体"/>
          <w:sz w:val="42"/>
        </w:rPr>
      </w:pPr>
      <w:r>
        <w:rPr>
          <w:rStyle w:val="16"/>
          <w:rFonts w:hint="default" w:ascii="Calibri" w:hAnsi="Calibri" w:eastAsia="黑体" w:cs="Calibri"/>
          <w:b/>
          <w:i w:val="0"/>
          <w:caps w:val="0"/>
          <w:color w:val="auto"/>
          <w:spacing w:val="0"/>
          <w:sz w:val="24"/>
          <w:szCs w:val="24"/>
          <w:u w:val="none"/>
          <w:shd w:val="clear" w:fill="FFFFFF"/>
        </w:rPr>
        <w:br w:type="page"/>
      </w:r>
    </w:p>
    <w:p>
      <w:pPr>
        <w:ind w:firstLine="536" w:firstLineChars="100"/>
        <w:rPr>
          <w:rFonts w:hint="eastAsia" w:ascii="方正小标宋简体" w:eastAsia="方正小标宋简体"/>
          <w:spacing w:val="60"/>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第二部分</w:t>
      </w:r>
    </w:p>
    <w:p>
      <w:pPr>
        <w:jc w:val="center"/>
        <w:rPr>
          <w:rFonts w:ascii="方正小标宋简体" w:eastAsia="方正小标宋简体"/>
          <w:spacing w:val="60"/>
          <w:sz w:val="42"/>
        </w:rPr>
      </w:pPr>
    </w:p>
    <w:p>
      <w:pPr>
        <w:jc w:val="center"/>
        <w:rPr>
          <w:rFonts w:ascii="方正小标宋简体" w:eastAsia="方正小标宋简体"/>
          <w:spacing w:val="60"/>
          <w:sz w:val="42"/>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w:t>
      </w:r>
      <w:r>
        <w:rPr>
          <w:rFonts w:hint="eastAsia" w:ascii="方正小标宋简体" w:eastAsia="方正小标宋简体"/>
          <w:spacing w:val="60"/>
          <w:sz w:val="48"/>
          <w:lang w:eastAsia="zh-CN"/>
        </w:rPr>
        <w:t>单位</w:t>
      </w:r>
      <w:r>
        <w:rPr>
          <w:rFonts w:hint="eastAsia" w:ascii="方正小标宋简体" w:eastAsia="方正小标宋简体"/>
          <w:spacing w:val="60"/>
          <w:sz w:val="48"/>
        </w:rPr>
        <w:t>决算表</w:t>
      </w:r>
    </w:p>
    <w:p>
      <w:pPr>
        <w:jc w:val="center"/>
        <w:rPr>
          <w:rFonts w:ascii="方正小标宋简体" w:eastAsia="方正小标宋简体"/>
          <w:sz w:val="44"/>
          <w:szCs w:val="44"/>
        </w:rPr>
      </w:pPr>
      <w:r>
        <w:rPr>
          <w:rFonts w:hint="eastAsia" w:ascii="方正小标宋简体" w:eastAsia="方正小标宋简体"/>
          <w:sz w:val="44"/>
          <w:szCs w:val="44"/>
        </w:rPr>
        <w:t>收入支出决算总表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公开01表</w:t>
      </w:r>
    </w:p>
    <w:p>
      <w:pPr>
        <w:wordWrap w:val="0"/>
        <w:spacing w:line="400" w:lineRule="exact"/>
        <w:jc w:val="both"/>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val="en-US"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3"/>
        <w:tblW w:w="8819" w:type="dxa"/>
        <w:jc w:val="center"/>
        <w:tblLayout w:type="fixed"/>
        <w:tblCellMar>
          <w:top w:w="0" w:type="dxa"/>
          <w:left w:w="108" w:type="dxa"/>
          <w:bottom w:w="0" w:type="dxa"/>
          <w:right w:w="108" w:type="dxa"/>
        </w:tblCellMar>
      </w:tblPr>
      <w:tblGrid>
        <w:gridCol w:w="2879"/>
        <w:gridCol w:w="714"/>
        <w:gridCol w:w="1017"/>
        <w:gridCol w:w="2229"/>
        <w:gridCol w:w="714"/>
        <w:gridCol w:w="1266"/>
      </w:tblGrid>
      <w:tr>
        <w:tblPrEx>
          <w:tblCellMar>
            <w:top w:w="0" w:type="dxa"/>
            <w:left w:w="108" w:type="dxa"/>
            <w:bottom w:w="0" w:type="dxa"/>
            <w:right w:w="108" w:type="dxa"/>
          </w:tblCellMar>
        </w:tblPrEx>
        <w:trPr>
          <w:trHeight w:val="329" w:hRule="exact"/>
          <w:jc w:val="center"/>
        </w:trPr>
        <w:tc>
          <w:tcPr>
            <w:tcW w:w="46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收 入</w:t>
            </w:r>
          </w:p>
        </w:tc>
        <w:tc>
          <w:tcPr>
            <w:tcW w:w="4209" w:type="dxa"/>
            <w:gridSpan w:val="3"/>
            <w:tcBorders>
              <w:top w:val="single" w:color="auto" w:sz="4" w:space="0"/>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支 出</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 目</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项目（按功能分类）</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22"/>
              </w:rPr>
            </w:pPr>
            <w:r>
              <w:rPr>
                <w:rFonts w:hint="eastAsia" w:ascii="仿宋_GB2312" w:eastAsia="仿宋_GB2312"/>
                <w:sz w:val="22"/>
              </w:rPr>
              <w:t>行次</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决算数</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1</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栏 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22"/>
              </w:rPr>
            </w:pPr>
            <w:r>
              <w:rPr>
                <w:rFonts w:hint="eastAsia" w:ascii="仿宋_GB2312" w:eastAsia="仿宋_GB2312"/>
                <w:sz w:val="22"/>
              </w:rPr>
              <w:t>2</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一、一般公共预算财政拨款收入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435.37</w:t>
            </w:r>
          </w:p>
        </w:tc>
        <w:tc>
          <w:tcPr>
            <w:tcW w:w="2229"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一、一般公共服务支出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441.06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二、政府性基金预算财政拨款收入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二、外交支出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三、国有资本经营预算收入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三、国防支出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32</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三、上级补助收入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四、公共安全支出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33</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四、事业收入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五、教育支出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34</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五、经营收入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六、科学技术支出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35</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六、附属单位上缴收入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七、文化旅游体育与传媒支出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36</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七、其他收入</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八、社会保障和就业支出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37</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九、卫生健康支出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38</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十、节能环保支出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39</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十一、城乡社区支出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40</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十二、农林水支出</w:t>
            </w:r>
          </w:p>
        </w:tc>
        <w:tc>
          <w:tcPr>
            <w:tcW w:w="714" w:type="dxa"/>
            <w:tcBorders>
              <w:top w:val="nil"/>
              <w:left w:val="single" w:color="auto" w:sz="4" w:space="0"/>
              <w:bottom w:val="single" w:color="auto" w:sz="4" w:space="0"/>
              <w:right w:val="nil"/>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41</w:t>
            </w:r>
          </w:p>
        </w:tc>
        <w:tc>
          <w:tcPr>
            <w:tcW w:w="1266"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十三、交通运输支出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十四、资源勘探信息等支出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十五、商业服务业等支出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44</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十六、金融支出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45</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十七、援助其他地区支出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46</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二、外交支出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三、国防支出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48</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四、公共安全支出</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49</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50</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51</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52</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53</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本年收入合计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435.37</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本年支出合计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54</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441.06</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用事业基金弥补收支差额</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结余分配</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55</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0</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年初结转和结余</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6.79</w:t>
            </w:r>
          </w:p>
        </w:tc>
        <w:tc>
          <w:tcPr>
            <w:tcW w:w="2229" w:type="dxa"/>
            <w:tcBorders>
              <w:top w:val="nil"/>
              <w:left w:val="nil"/>
              <w:bottom w:val="single" w:color="auto" w:sz="4" w:space="0"/>
              <w:right w:val="single" w:color="auto" w:sz="4" w:space="0"/>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年末结转和结余</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56</w:t>
            </w:r>
          </w:p>
        </w:tc>
        <w:tc>
          <w:tcPr>
            <w:tcW w:w="1266" w:type="dxa"/>
            <w:tcBorders>
              <w:top w:val="nil"/>
              <w:left w:val="nil"/>
              <w:bottom w:val="single" w:color="auto" w:sz="4" w:space="0"/>
              <w:right w:val="single" w:color="auto" w:sz="4" w:space="0"/>
            </w:tcBorders>
            <w:vAlign w:val="center"/>
          </w:tcPr>
          <w:p>
            <w:pPr>
              <w:spacing w:line="240" w:lineRule="exact"/>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1.10</w:t>
            </w: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101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57</w:t>
            </w:r>
          </w:p>
        </w:tc>
        <w:tc>
          <w:tcPr>
            <w:tcW w:w="126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p>
        </w:tc>
      </w:tr>
      <w:tr>
        <w:tblPrEx>
          <w:tblCellMar>
            <w:top w:w="0" w:type="dxa"/>
            <w:left w:w="108" w:type="dxa"/>
            <w:bottom w:w="0" w:type="dxa"/>
            <w:right w:w="108" w:type="dxa"/>
          </w:tblCellMar>
        </w:tblPrEx>
        <w:trPr>
          <w:trHeight w:val="329" w:hRule="exact"/>
          <w:jc w:val="center"/>
        </w:trPr>
        <w:tc>
          <w:tcPr>
            <w:tcW w:w="2879"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1017"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442.16</w:t>
            </w:r>
          </w:p>
        </w:tc>
        <w:tc>
          <w:tcPr>
            <w:tcW w:w="222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总计</w:t>
            </w:r>
          </w:p>
        </w:tc>
        <w:tc>
          <w:tcPr>
            <w:tcW w:w="714"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58</w:t>
            </w:r>
          </w:p>
        </w:tc>
        <w:tc>
          <w:tcPr>
            <w:tcW w:w="1266" w:type="dxa"/>
            <w:tcBorders>
              <w:top w:val="nil"/>
              <w:left w:val="nil"/>
              <w:bottom w:val="single" w:color="auto" w:sz="4" w:space="0"/>
              <w:right w:val="single" w:color="auto" w:sz="4" w:space="0"/>
            </w:tcBorders>
            <w:vAlign w:val="center"/>
          </w:tcPr>
          <w:p>
            <w:pPr>
              <w:spacing w:line="240" w:lineRule="exact"/>
              <w:jc w:val="center"/>
              <w:rPr>
                <w:rFonts w:hint="eastAsia" w:ascii="仿宋_GB2312" w:eastAsia="仿宋_GB2312"/>
                <w:sz w:val="18"/>
                <w:szCs w:val="18"/>
                <w:lang w:val="en-US" w:eastAsia="zh-CN"/>
              </w:rPr>
            </w:pPr>
            <w:r>
              <w:rPr>
                <w:rFonts w:hint="eastAsia" w:ascii="仿宋_GB2312" w:eastAsia="仿宋_GB2312"/>
                <w:sz w:val="18"/>
                <w:szCs w:val="18"/>
                <w:lang w:val="en-US" w:eastAsia="zh-CN"/>
              </w:rPr>
              <w:t>442.16</w:t>
            </w:r>
          </w:p>
        </w:tc>
      </w:tr>
    </w:tbl>
    <w:p>
      <w:pPr>
        <w:ind w:firstLine="88" w:firstLineChars="50"/>
        <w:rPr>
          <w:rFonts w:hint="eastAsia" w:ascii="仿宋_GB2312" w:hAnsi="宋体" w:eastAsia="仿宋_GB2312"/>
          <w:sz w:val="18"/>
          <w:szCs w:val="18"/>
          <w:lang w:eastAsia="zh-CN"/>
        </w:rPr>
        <w:sectPr>
          <w:pgSz w:w="11906" w:h="16838"/>
          <w:pgMar w:top="1701" w:right="1531" w:bottom="1701" w:left="1531" w:header="0" w:footer="1418" w:gutter="0"/>
          <w:cols w:space="720" w:num="1"/>
          <w:docGrid w:type="linesAndChars" w:linePitch="610" w:charSpace="-849"/>
        </w:sectPr>
      </w:pPr>
      <w:r>
        <w:rPr>
          <w:rFonts w:hint="eastAsia" w:ascii="仿宋_GB2312" w:hAnsi="宋体" w:eastAsia="仿宋_GB2312"/>
          <w:sz w:val="18"/>
          <w:szCs w:val="18"/>
        </w:rPr>
        <w:t>注：本表反映部门本年度的总收支和年末结转结余情况。</w:t>
      </w:r>
      <w:r>
        <w:rPr>
          <w:rFonts w:hint="eastAsia" w:ascii="仿宋_GB2312" w:hAnsi="宋体" w:eastAsia="仿宋_GB2312"/>
          <w:sz w:val="18"/>
          <w:szCs w:val="18"/>
          <w:lang w:eastAsia="zh-CN"/>
        </w:rPr>
        <w:t>（本表金额转化为万元时，因四舍五入可能存在尾差）</w:t>
      </w:r>
    </w:p>
    <w:p>
      <w:pPr>
        <w:jc w:val="center"/>
        <w:rPr>
          <w:rFonts w:ascii="方正小标宋简体" w:eastAsia="方正小标宋简体"/>
          <w:sz w:val="44"/>
          <w:szCs w:val="44"/>
        </w:rPr>
      </w:pPr>
      <w:r>
        <w:rPr>
          <w:rFonts w:hint="eastAsia" w:ascii="方正小标宋简体" w:eastAsia="方正小标宋简体"/>
          <w:sz w:val="44"/>
          <w:szCs w:val="44"/>
        </w:rPr>
        <w:t>收入决算表</w:t>
      </w:r>
    </w:p>
    <w:p>
      <w:pPr>
        <w:wordWrap w:val="0"/>
        <w:spacing w:line="400" w:lineRule="exact"/>
        <w:jc w:val="right"/>
        <w:rPr>
          <w:rFonts w:ascii="楷体_GB2312" w:eastAsia="楷体_GB2312"/>
          <w:sz w:val="28"/>
          <w:szCs w:val="28"/>
        </w:rPr>
      </w:pPr>
      <w:r>
        <w:rPr>
          <w:rFonts w:hint="eastAsia" w:ascii="楷体_GB2312" w:eastAsia="楷体_GB2312"/>
          <w:sz w:val="28"/>
          <w:szCs w:val="28"/>
        </w:rPr>
        <w:t xml:space="preserve"> 公开02表 </w:t>
      </w:r>
    </w:p>
    <w:p>
      <w:pPr>
        <w:tabs>
          <w:tab w:val="left" w:pos="13467"/>
        </w:tabs>
        <w:wordWrap w:val="0"/>
        <w:spacing w:line="400" w:lineRule="exact"/>
        <w:ind w:right="107"/>
        <w:jc w:val="right"/>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单位：万元</w:t>
      </w:r>
    </w:p>
    <w:tbl>
      <w:tblPr>
        <w:tblStyle w:val="13"/>
        <w:tblW w:w="13433" w:type="dxa"/>
        <w:jc w:val="center"/>
        <w:tblLayout w:type="fixed"/>
        <w:tblCellMar>
          <w:top w:w="0" w:type="dxa"/>
          <w:left w:w="108" w:type="dxa"/>
          <w:bottom w:w="0" w:type="dxa"/>
          <w:right w:w="108" w:type="dxa"/>
        </w:tblCellMar>
      </w:tblPr>
      <w:tblGrid>
        <w:gridCol w:w="1296"/>
        <w:gridCol w:w="110"/>
        <w:gridCol w:w="1407"/>
        <w:gridCol w:w="1517"/>
        <w:gridCol w:w="1517"/>
        <w:gridCol w:w="1517"/>
        <w:gridCol w:w="1517"/>
        <w:gridCol w:w="1517"/>
        <w:gridCol w:w="1517"/>
        <w:gridCol w:w="1518"/>
      </w:tblGrid>
      <w:tr>
        <w:tblPrEx>
          <w:tblCellMar>
            <w:top w:w="0" w:type="dxa"/>
            <w:left w:w="108" w:type="dxa"/>
            <w:bottom w:w="0" w:type="dxa"/>
            <w:right w:w="108" w:type="dxa"/>
          </w:tblCellMar>
        </w:tblPrEx>
        <w:trPr>
          <w:trHeight w:val="458"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本年收入合计</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上级补助收入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r>
              <w:rPr>
                <w:rFonts w:hint="eastAsia" w:ascii="仿宋_GB2312" w:hAnsi="宋体" w:eastAsia="仿宋_GB2312" w:cs="宋体"/>
                <w:kern w:val="0"/>
                <w:sz w:val="22"/>
              </w:rPr>
              <w:t>事业收入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经营收入</w:t>
            </w:r>
          </w:p>
        </w:tc>
        <w:tc>
          <w:tcPr>
            <w:tcW w:w="1517" w:type="dxa"/>
            <w:vMerge w:val="restart"/>
            <w:tcBorders>
              <w:top w:val="single" w:color="auto" w:sz="4" w:space="0"/>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 xml:space="preserve">附属单位    </w:t>
            </w:r>
          </w:p>
          <w:p>
            <w:pPr>
              <w:widowControl/>
              <w:spacing w:line="300" w:lineRule="exact"/>
              <w:ind w:left="648" w:hanging="648" w:hangingChars="300"/>
              <w:jc w:val="center"/>
              <w:rPr>
                <w:rFonts w:ascii="仿宋_GB2312" w:hAnsi="宋体" w:eastAsia="仿宋_GB2312" w:cs="宋体"/>
                <w:kern w:val="0"/>
                <w:sz w:val="22"/>
              </w:rPr>
            </w:pPr>
            <w:r>
              <w:rPr>
                <w:rFonts w:hint="eastAsia" w:ascii="仿宋_GB2312" w:hAnsi="宋体" w:eastAsia="仿宋_GB2312" w:cs="宋体"/>
                <w:kern w:val="0"/>
                <w:sz w:val="22"/>
              </w:rPr>
              <w:t>上缴收入</w:t>
            </w:r>
          </w:p>
        </w:tc>
        <w:tc>
          <w:tcPr>
            <w:tcW w:w="15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其他收入</w:t>
            </w:r>
          </w:p>
        </w:tc>
      </w:tr>
      <w:tr>
        <w:tblPrEx>
          <w:tblCellMar>
            <w:top w:w="0" w:type="dxa"/>
            <w:left w:w="108" w:type="dxa"/>
            <w:bottom w:w="0" w:type="dxa"/>
            <w:right w:w="108" w:type="dxa"/>
          </w:tblCellMar>
        </w:tblPrEx>
        <w:trPr>
          <w:trHeight w:val="457" w:hRule="atLeast"/>
          <w:jc w:val="center"/>
        </w:trPr>
        <w:tc>
          <w:tcPr>
            <w:tcW w:w="140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firstLine="216" w:firstLineChars="100"/>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vMerge w:val="continue"/>
            <w:tcBorders>
              <w:left w:val="single" w:color="auto" w:sz="4" w:space="0"/>
              <w:right w:val="single" w:color="auto" w:sz="4" w:space="0"/>
            </w:tcBorders>
            <w:vAlign w:val="center"/>
          </w:tcPr>
          <w:p>
            <w:pPr>
              <w:widowControl/>
              <w:spacing w:line="300" w:lineRule="exact"/>
              <w:ind w:left="648" w:hanging="648" w:hangingChars="300"/>
              <w:jc w:val="center"/>
              <w:rPr>
                <w:rFonts w:ascii="仿宋_GB2312" w:hAnsi="宋体" w:eastAsia="仿宋_GB2312" w:cs="宋体"/>
                <w:kern w:val="0"/>
                <w:sz w:val="22"/>
              </w:rPr>
            </w:pPr>
          </w:p>
        </w:tc>
        <w:tc>
          <w:tcPr>
            <w:tcW w:w="1518"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r>
      <w:tr>
        <w:tblPrEx>
          <w:tblCellMar>
            <w:top w:w="0" w:type="dxa"/>
            <w:left w:w="108" w:type="dxa"/>
            <w:bottom w:w="0" w:type="dxa"/>
            <w:right w:w="108" w:type="dxa"/>
          </w:tblCellMar>
        </w:tblPrEx>
        <w:trPr>
          <w:trHeight w:val="397" w:hRule="atLeast"/>
          <w:jc w:val="center"/>
        </w:trPr>
        <w:tc>
          <w:tcPr>
            <w:tcW w:w="281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435.37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435.37</w:t>
            </w: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90" w:hRule="atLeast"/>
          <w:jc w:val="center"/>
        </w:trPr>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w:t>
            </w:r>
          </w:p>
        </w:tc>
        <w:tc>
          <w:tcPr>
            <w:tcW w:w="15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一般公共服务支出</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435.37</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435.37</w:t>
            </w: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5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20103</w:t>
            </w:r>
          </w:p>
        </w:tc>
        <w:tc>
          <w:tcPr>
            <w:tcW w:w="1517" w:type="dxa"/>
            <w:gridSpan w:val="2"/>
            <w:tcBorders>
              <w:top w:val="nil"/>
              <w:left w:val="nil"/>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lang w:eastAsia="zh-CN"/>
              </w:rPr>
            </w:pPr>
            <w:r>
              <w:rPr>
                <w:rFonts w:hint="eastAsia" w:ascii="仿宋_GB2312" w:hAnsi="宋体" w:eastAsia="仿宋_GB2312" w:cs="宋体"/>
                <w:kern w:val="0"/>
                <w:sz w:val="22"/>
                <w:lang w:eastAsia="zh-CN"/>
              </w:rPr>
              <w:t>政府办公厅（室）及相关机构事务</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435.37</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435.37</w:t>
            </w: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51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lang w:val="en-US" w:eastAsia="zh-CN"/>
              </w:rPr>
              <w:t>2010301</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hint="eastAsia" w:ascii="仿宋_GB2312" w:hAnsi="宋体" w:eastAsia="仿宋_GB2312" w:cs="宋体"/>
                <w:kern w:val="0"/>
                <w:sz w:val="22"/>
                <w:lang w:eastAsia="zh-CN"/>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行政运行</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376.65</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376.65</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val="en-US" w:eastAsia="zh-CN"/>
              </w:rPr>
              <w:t>2010302</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hAnsi="宋体" w:eastAsia="仿宋_GB2312" w:cs="宋体"/>
                <w:kern w:val="0"/>
                <w:sz w:val="22"/>
                <w:lang w:eastAsia="zh-CN"/>
              </w:rPr>
              <w:t>一般行政管理事务</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58.72</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lang w:val="en-US" w:eastAsia="zh-CN"/>
              </w:rPr>
              <w:t>58.72</w:t>
            </w: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397" w:hRule="atLeast"/>
          <w:jc w:val="center"/>
        </w:trPr>
        <w:tc>
          <w:tcPr>
            <w:tcW w:w="1296"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51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ascii="仿宋_GB2312" w:hAnsi="宋体" w:eastAsia="仿宋_GB2312"/>
          <w:sz w:val="22"/>
        </w:rPr>
      </w:pPr>
      <w:r>
        <w:rPr>
          <w:rFonts w:hint="eastAsia" w:ascii="仿宋_GB2312" w:hAnsi="宋体" w:eastAsia="仿宋_GB2312"/>
          <w:sz w:val="22"/>
        </w:rPr>
        <w:t>注：本表反映</w:t>
      </w:r>
      <w:r>
        <w:rPr>
          <w:rFonts w:hint="eastAsia" w:ascii="仿宋_GB2312" w:hAnsi="宋体" w:eastAsia="仿宋_GB2312"/>
          <w:sz w:val="22"/>
          <w:lang w:eastAsia="zh-CN"/>
        </w:rPr>
        <w:t>单</w:t>
      </w:r>
      <w:r>
        <w:rPr>
          <w:rFonts w:hint="eastAsia" w:ascii="仿宋_GB2312" w:hAnsi="宋体" w:eastAsia="仿宋_GB2312"/>
          <w:sz w:val="22"/>
        </w:rPr>
        <w:t>本年度取得的各项收入情况。</w:t>
      </w:r>
      <w:r>
        <w:rPr>
          <w:rFonts w:hint="eastAsia" w:ascii="仿宋_GB2312" w:hAnsi="宋体" w:eastAsia="仿宋_GB2312"/>
          <w:sz w:val="22"/>
          <w:lang w:eastAsia="zh-CN"/>
        </w:rPr>
        <w:t>（</w:t>
      </w:r>
      <w:r>
        <w:rPr>
          <w:rFonts w:hint="eastAsia" w:ascii="仿宋_GB2312" w:hAnsi="宋体" w:eastAsia="仿宋_GB2312"/>
          <w:sz w:val="18"/>
          <w:szCs w:val="18"/>
          <w:lang w:eastAsia="zh-CN"/>
        </w:rPr>
        <w:t>本表金额转化为万元时，因四舍五入可能存在尾差</w:t>
      </w:r>
      <w:r>
        <w:rPr>
          <w:rFonts w:hint="eastAsia" w:ascii="仿宋_GB2312" w:hAnsi="宋体" w:eastAsia="仿宋_GB2312"/>
          <w:sz w:val="22"/>
          <w:lang w:eastAsia="zh-CN"/>
        </w:rPr>
        <w:t>）</w:t>
      </w:r>
    </w:p>
    <w:p>
      <w:pPr>
        <w:jc w:val="center"/>
        <w:rPr>
          <w:rFonts w:ascii="方正小标宋简体" w:eastAsia="方正小标宋简体"/>
          <w:sz w:val="44"/>
          <w:szCs w:val="44"/>
        </w:rPr>
      </w:pPr>
      <w:r>
        <w:rPr>
          <w:rFonts w:hint="eastAsia" w:ascii="方正小标宋简体" w:eastAsia="方正小标宋简体"/>
          <w:sz w:val="44"/>
          <w:szCs w:val="44"/>
        </w:rPr>
        <w:t>支出决算表</w:t>
      </w:r>
    </w:p>
    <w:p>
      <w:pPr>
        <w:spacing w:line="400" w:lineRule="exact"/>
        <w:jc w:val="right"/>
        <w:rPr>
          <w:rFonts w:ascii="楷体_GB2312" w:eastAsia="楷体_GB2312"/>
          <w:sz w:val="28"/>
          <w:szCs w:val="28"/>
        </w:rPr>
      </w:pPr>
      <w:r>
        <w:rPr>
          <w:rFonts w:hint="eastAsia" w:ascii="楷体_GB2312" w:eastAsia="楷体_GB2312"/>
          <w:sz w:val="28"/>
          <w:szCs w:val="28"/>
        </w:rPr>
        <w:t xml:space="preserve">                                                                                   公开03表</w:t>
      </w:r>
    </w:p>
    <w:p>
      <w:pPr>
        <w:wordWrap w:val="0"/>
        <w:spacing w:line="400" w:lineRule="exact"/>
        <w:jc w:val="both"/>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 xml:space="preserve">： </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3"/>
        <w:tblW w:w="13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092"/>
        <w:gridCol w:w="1091"/>
        <w:gridCol w:w="3454"/>
        <w:gridCol w:w="1192"/>
        <w:gridCol w:w="989"/>
        <w:gridCol w:w="989"/>
        <w:gridCol w:w="1061"/>
        <w:gridCol w:w="1049"/>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项目</w:t>
            </w:r>
          </w:p>
        </w:tc>
        <w:tc>
          <w:tcPr>
            <w:tcW w:w="11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本年支出合计</w:t>
            </w: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基本支出</w:t>
            </w: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项目支出</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上缴上级支出</w:t>
            </w:r>
          </w:p>
        </w:tc>
        <w:tc>
          <w:tcPr>
            <w:tcW w:w="10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经营支出</w:t>
            </w:r>
          </w:p>
        </w:tc>
        <w:tc>
          <w:tcPr>
            <w:tcW w:w="1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9"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支出功能分类科目编码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科目名称</w:t>
            </w: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11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0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c>
          <w:tcPr>
            <w:tcW w:w="1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类</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款</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栏次</w:t>
            </w:r>
          </w:p>
        </w:tc>
        <w:tc>
          <w:tcPr>
            <w:tcW w:w="11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1</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2</w:t>
            </w:r>
          </w:p>
        </w:tc>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4</w:t>
            </w:r>
          </w:p>
        </w:tc>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5</w:t>
            </w:r>
          </w:p>
        </w:tc>
        <w:tc>
          <w:tcPr>
            <w:tcW w:w="15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441.06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314.44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126.62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441.06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314.44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126.62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20103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政府办公厅（室）及相关机构事务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441.06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314.44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126.62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2010301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 xml:space="preserve">  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381.84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314.44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67.39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2010302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 xml:space="preserve">  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59.23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59.23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r>
              <w:rPr>
                <w:rFonts w:hint="eastAsia" w:ascii="仿宋_GB2312" w:hAnsi="宋体" w:eastAsia="仿宋_GB2312" w:cs="宋体"/>
                <w:color w:val="auto"/>
                <w:kern w:val="0"/>
                <w:sz w:val="22"/>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仿宋_GB2312" w:hAnsi="宋体" w:eastAsia="仿宋_GB2312" w:cs="宋体"/>
                <w:color w:val="auto"/>
                <w:kern w:val="0"/>
                <w:sz w:val="22"/>
                <w:lang w:val="en-US" w:eastAsia="zh-CN"/>
              </w:rPr>
            </w:pPr>
          </w:p>
        </w:tc>
      </w:tr>
    </w:tbl>
    <w:p>
      <w:pPr>
        <w:ind w:firstLine="108" w:firstLineChars="50"/>
        <w:rPr>
          <w:rFonts w:hint="eastAsia" w:ascii="仿宋_GB2312" w:hAnsi="宋体" w:eastAsia="仿宋_GB2312"/>
          <w:sz w:val="22"/>
        </w:rPr>
      </w:pPr>
    </w:p>
    <w:p>
      <w:pPr>
        <w:ind w:firstLine="108" w:firstLineChars="50"/>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注：本表反映部门本年度各项支出情况。</w:t>
      </w:r>
      <w:r>
        <w:rPr>
          <w:rFonts w:hint="eastAsia" w:ascii="仿宋_GB2312" w:hAnsi="宋体" w:eastAsia="仿宋_GB2312"/>
          <w:sz w:val="22"/>
          <w:lang w:eastAsia="zh-CN"/>
        </w:rPr>
        <w:t>（</w:t>
      </w:r>
      <w:r>
        <w:rPr>
          <w:rFonts w:hint="eastAsia" w:ascii="仿宋_GB2312" w:hAnsi="宋体" w:eastAsia="仿宋_GB2312"/>
          <w:sz w:val="18"/>
          <w:szCs w:val="18"/>
          <w:lang w:eastAsia="zh-CN"/>
        </w:rPr>
        <w:t>本表金额转化为万元时，因四舍五入可能存在尾差</w:t>
      </w:r>
      <w:r>
        <w:rPr>
          <w:rFonts w:hint="eastAsia" w:ascii="仿宋_GB2312" w:hAnsi="宋体" w:eastAsia="仿宋_GB2312"/>
          <w:sz w:val="22"/>
          <w:lang w:eastAsia="zh-CN"/>
        </w:rPr>
        <w:t>）</w:t>
      </w:r>
    </w:p>
    <w:p>
      <w:pPr>
        <w:jc w:val="center"/>
        <w:rPr>
          <w:rFonts w:ascii="方正小标宋简体" w:eastAsia="方正小标宋简体"/>
          <w:sz w:val="44"/>
          <w:szCs w:val="44"/>
        </w:rPr>
      </w:pPr>
      <w:r>
        <w:rPr>
          <w:rFonts w:hint="eastAsia" w:ascii="方正小标宋简体" w:eastAsia="方正小标宋简体"/>
          <w:sz w:val="44"/>
          <w:szCs w:val="44"/>
        </w:rPr>
        <w:t>财政拨款收入支出决算总表</w:t>
      </w:r>
    </w:p>
    <w:p>
      <w:pPr>
        <w:spacing w:line="400" w:lineRule="exact"/>
        <w:jc w:val="right"/>
        <w:rPr>
          <w:rFonts w:ascii="楷体_GB2312" w:eastAsia="楷体_GB2312"/>
          <w:sz w:val="28"/>
          <w:szCs w:val="28"/>
        </w:rPr>
      </w:pPr>
      <w:r>
        <w:rPr>
          <w:rFonts w:hint="eastAsia" w:ascii="楷体_GB2312" w:eastAsia="楷体_GB2312"/>
          <w:sz w:val="28"/>
          <w:szCs w:val="28"/>
        </w:rPr>
        <w:t>公开04表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3"/>
        <w:tblW w:w="133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22"/>
        <w:gridCol w:w="540"/>
        <w:gridCol w:w="1512"/>
        <w:gridCol w:w="2628"/>
        <w:gridCol w:w="540"/>
        <w:gridCol w:w="1699"/>
        <w:gridCol w:w="1700"/>
        <w:gridCol w:w="1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074" w:type="dxa"/>
            <w:gridSpan w:val="3"/>
            <w:tcBorders>
              <w:top w:val="single" w:color="auto" w:sz="4" w:space="0"/>
              <w:bottom w:val="single" w:color="auto" w:sz="4" w:space="0"/>
              <w:right w:val="nil"/>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收 入</w:t>
            </w:r>
          </w:p>
        </w:tc>
        <w:tc>
          <w:tcPr>
            <w:tcW w:w="8267" w:type="dxa"/>
            <w:gridSpan w:val="5"/>
            <w:tcBorders>
              <w:top w:val="single" w:color="auto" w:sz="4" w:space="0"/>
              <w:left w:val="nil"/>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支 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51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决算数</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行次</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财政拨款</w:t>
            </w:r>
          </w:p>
        </w:tc>
        <w:tc>
          <w:tcPr>
            <w:tcW w:w="1700" w:type="dxa"/>
            <w:tcBorders>
              <w:top w:val="single" w:color="auto" w:sz="4" w:space="0"/>
              <w:left w:val="single" w:color="auto" w:sz="4" w:space="0"/>
              <w:bottom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政府性基金</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预算财政拨款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ind w:firstLine="1080" w:firstLineChars="500"/>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0" w:type="dxa"/>
            <w:tcBorders>
              <w:top w:val="single" w:color="auto" w:sz="4" w:space="0"/>
              <w:left w:val="single" w:color="auto" w:sz="4" w:space="0"/>
              <w:bottom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eastAsia="仿宋_GB2312"/>
                <w:sz w:val="18"/>
                <w:szCs w:val="18"/>
                <w:lang w:val="en-US" w:eastAsia="zh-CN"/>
              </w:rPr>
              <w:t>435.37</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一、一般公共服务支出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eastAsia="仿宋_GB2312"/>
                <w:sz w:val="18"/>
                <w:szCs w:val="18"/>
                <w:lang w:val="en-US" w:eastAsia="zh-CN"/>
              </w:rPr>
              <w:t>441.06</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二、外交支出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三、国防支出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17</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四、公共安全支出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五、教育支出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19</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六、科学技术支出</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20</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21</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left"/>
              <w:rPr>
                <w:rFonts w:hint="eastAsia"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8</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hint="eastAsia" w:ascii="仿宋_GB2312" w:hAnsi="宋体" w:eastAsia="仿宋_GB2312" w:cs="宋体"/>
                <w:kern w:val="0"/>
                <w:sz w:val="22"/>
              </w:rPr>
            </w:pP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hint="eastAsia" w:ascii="仿宋_GB2312" w:hAnsi="宋体" w:eastAsia="仿宋_GB2312" w:cs="宋体"/>
                <w:kern w:val="0"/>
                <w:sz w:val="22"/>
              </w:rPr>
            </w:pP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rPr>
            </w:pP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rPr>
            </w:pP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hint="eastAsia" w:ascii="仿宋_GB2312" w:hAnsi="宋体" w:eastAsia="仿宋_GB2312" w:cs="宋体"/>
                <w:kern w:val="0"/>
                <w:sz w:val="22"/>
              </w:rPr>
            </w:pPr>
          </w:p>
        </w:tc>
        <w:tc>
          <w:tcPr>
            <w:tcW w:w="1700" w:type="dxa"/>
            <w:tcBorders>
              <w:top w:val="single" w:color="auto" w:sz="4" w:space="0"/>
              <w:left w:val="single" w:color="auto" w:sz="4" w:space="0"/>
              <w:bottom w:val="single" w:color="auto" w:sz="4" w:space="0"/>
            </w:tcBorders>
            <w:vAlign w:val="center"/>
          </w:tcPr>
          <w:p>
            <w:pPr>
              <w:widowControl/>
              <w:spacing w:line="300" w:lineRule="exact"/>
              <w:jc w:val="right"/>
              <w:rPr>
                <w:rFonts w:hint="eastAsia" w:ascii="仿宋_GB2312" w:hAnsi="宋体"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本年收入合计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eastAsia="仿宋_GB2312"/>
                <w:sz w:val="18"/>
                <w:szCs w:val="18"/>
                <w:lang w:val="en-US" w:eastAsia="zh-CN"/>
              </w:rPr>
              <w:t>435.37</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本年支出合计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eastAsia="仿宋_GB2312"/>
                <w:sz w:val="18"/>
                <w:szCs w:val="18"/>
                <w:lang w:val="en-US" w:eastAsia="zh-CN"/>
              </w:rPr>
              <w:t>441.06</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eastAsia="仿宋_GB2312"/>
                <w:sz w:val="18"/>
                <w:szCs w:val="18"/>
                <w:lang w:val="en-US" w:eastAsia="zh-CN"/>
              </w:rPr>
              <w:t>441.06</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年初财政拨款结转和结余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eastAsia="仿宋_GB2312"/>
                <w:sz w:val="18"/>
                <w:szCs w:val="18"/>
                <w:lang w:val="en-US" w:eastAsia="zh-CN"/>
              </w:rPr>
              <w:t>6.79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kern w:val="0"/>
                <w:sz w:val="22"/>
              </w:rPr>
            </w:pPr>
            <w:r>
              <w:rPr>
                <w:rFonts w:hint="eastAsia" w:ascii="仿宋_GB2312" w:hAnsi="宋体" w:eastAsia="仿宋_GB2312" w:cs="宋体"/>
                <w:kern w:val="0"/>
                <w:sz w:val="22"/>
              </w:rPr>
              <w:t>年末财政拨款结转和结余</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24</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eastAsia="仿宋_GB2312"/>
                <w:sz w:val="18"/>
                <w:szCs w:val="18"/>
                <w:lang w:val="en-US" w:eastAsia="zh-CN"/>
              </w:rPr>
              <w:t>1.10</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eastAsia="仿宋_GB2312"/>
                <w:sz w:val="18"/>
                <w:szCs w:val="18"/>
                <w:lang w:val="en-US" w:eastAsia="zh-CN"/>
              </w:rPr>
              <w:t>1.10</w:t>
            </w: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一般公共预算财政拨款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eastAsia="仿宋_GB2312"/>
                <w:sz w:val="18"/>
                <w:szCs w:val="18"/>
                <w:lang w:val="en-US" w:eastAsia="zh-CN"/>
              </w:rPr>
              <w:t>6.79</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25</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xml:space="preserve">  政府性基金预算财政拨款</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26</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022" w:type="dxa"/>
            <w:tcBorders>
              <w:top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right"/>
              <w:rPr>
                <w:rFonts w:ascii="仿宋_GB2312" w:hAnsi="宋体" w:eastAsia="仿宋_GB2312" w:cs="宋体"/>
                <w:kern w:val="0"/>
                <w:sz w:val="22"/>
              </w:rPr>
            </w:pPr>
            <w:r>
              <w:rPr>
                <w:rFonts w:hint="eastAsia" w:ascii="仿宋_GB2312" w:eastAsia="仿宋_GB2312"/>
                <w:sz w:val="18"/>
                <w:szCs w:val="18"/>
                <w:lang w:val="en-US" w:eastAsia="zh-CN"/>
              </w:rPr>
              <w:t>442.16</w:t>
            </w:r>
            <w:r>
              <w:rPr>
                <w:rFonts w:hint="eastAsia" w:ascii="仿宋_GB2312" w:hAnsi="宋体" w:eastAsia="仿宋_GB2312" w:cs="宋体"/>
                <w:kern w:val="0"/>
                <w:sz w:val="22"/>
              </w:rPr>
              <w:t>　</w:t>
            </w:r>
          </w:p>
        </w:tc>
        <w:tc>
          <w:tcPr>
            <w:tcW w:w="2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总计</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28</w:t>
            </w:r>
          </w:p>
        </w:tc>
        <w:tc>
          <w:tcPr>
            <w:tcW w:w="16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eastAsia="仿宋_GB2312"/>
                <w:sz w:val="18"/>
                <w:szCs w:val="18"/>
                <w:lang w:val="en-US" w:eastAsia="zh-CN"/>
              </w:rPr>
              <w:t>442.16</w:t>
            </w:r>
          </w:p>
        </w:tc>
        <w:tc>
          <w:tcPr>
            <w:tcW w:w="1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　</w:t>
            </w:r>
            <w:r>
              <w:rPr>
                <w:rFonts w:hint="eastAsia" w:ascii="仿宋_GB2312" w:eastAsia="仿宋_GB2312"/>
                <w:sz w:val="18"/>
                <w:szCs w:val="18"/>
                <w:lang w:val="en-US" w:eastAsia="zh-CN"/>
              </w:rPr>
              <w:t>442.16</w:t>
            </w:r>
          </w:p>
        </w:tc>
        <w:tc>
          <w:tcPr>
            <w:tcW w:w="1700" w:type="dxa"/>
            <w:tcBorders>
              <w:top w:val="single" w:color="auto" w:sz="4" w:space="0"/>
              <w:left w:val="single" w:color="auto" w:sz="4" w:space="0"/>
              <w:bottom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rPr>
              <w:t>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08" w:firstLineChars="50"/>
        <w:jc w:val="both"/>
        <w:textAlignment w:val="auto"/>
        <w:outlineLvl w:val="9"/>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注：本表反映部门本年度一般公共预算财政拨款和政府性基金预算财政拨款的总收支和年末结转结余情况。</w:t>
      </w:r>
      <w:r>
        <w:rPr>
          <w:rFonts w:hint="eastAsia" w:ascii="仿宋_GB2312" w:hAnsi="宋体" w:eastAsia="仿宋_GB2312"/>
          <w:sz w:val="22"/>
          <w:lang w:eastAsia="zh-CN"/>
        </w:rPr>
        <w:t>（</w:t>
      </w:r>
      <w:r>
        <w:rPr>
          <w:rFonts w:hint="eastAsia" w:ascii="仿宋_GB2312" w:hAnsi="宋体" w:eastAsia="仿宋_GB2312"/>
          <w:sz w:val="18"/>
          <w:szCs w:val="18"/>
          <w:lang w:eastAsia="zh-CN"/>
        </w:rPr>
        <w:t>本表金额转化为万元时，因四舍五入可能存在尾差</w:t>
      </w:r>
      <w:r>
        <w:rPr>
          <w:rFonts w:hint="eastAsia" w:ascii="仿宋_GB2312" w:hAnsi="宋体" w:eastAsia="仿宋_GB2312"/>
          <w:sz w:val="22"/>
          <w:lang w:eastAsia="zh-CN"/>
        </w:rPr>
        <w:t>）</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公开05表</w:t>
      </w:r>
    </w:p>
    <w:p>
      <w:pPr>
        <w:wordWrap w:val="0"/>
        <w:spacing w:line="400" w:lineRule="exact"/>
        <w:ind w:firstLine="138" w:firstLineChars="50"/>
        <w:jc w:val="both"/>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2020年度</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w:t>
      </w:r>
      <w:r>
        <w:rPr>
          <w:rFonts w:hint="eastAsia" w:ascii="楷体_GB2312" w:eastAsia="楷体_GB2312"/>
          <w:sz w:val="28"/>
          <w:szCs w:val="28"/>
          <w:lang w:val="en-US" w:eastAsia="zh-CN"/>
        </w:rPr>
        <w:t xml:space="preserve">   </w:t>
      </w:r>
      <w:r>
        <w:rPr>
          <w:rFonts w:hint="eastAsia" w:ascii="楷体_GB2312" w:eastAsia="楷体_GB2312"/>
          <w:sz w:val="28"/>
          <w:szCs w:val="28"/>
        </w:rPr>
        <w:t xml:space="preserve">  单位：万元</w:t>
      </w:r>
    </w:p>
    <w:tbl>
      <w:tblPr>
        <w:tblStyle w:val="13"/>
        <w:tblW w:w="13152" w:type="dxa"/>
        <w:jc w:val="center"/>
        <w:tblLayout w:type="fixed"/>
        <w:tblCellMar>
          <w:top w:w="0" w:type="dxa"/>
          <w:left w:w="108" w:type="dxa"/>
          <w:bottom w:w="0" w:type="dxa"/>
          <w:right w:w="108" w:type="dxa"/>
        </w:tblCellMar>
      </w:tblPr>
      <w:tblGrid>
        <w:gridCol w:w="1701"/>
        <w:gridCol w:w="3416"/>
        <w:gridCol w:w="2537"/>
        <w:gridCol w:w="2978"/>
        <w:gridCol w:w="2520"/>
      </w:tblGrid>
      <w:tr>
        <w:tblPrEx>
          <w:tblCellMar>
            <w:top w:w="0" w:type="dxa"/>
            <w:left w:w="108" w:type="dxa"/>
            <w:bottom w:w="0" w:type="dxa"/>
            <w:right w:w="108" w:type="dxa"/>
          </w:tblCellMar>
        </w:tblPrEx>
        <w:trPr>
          <w:trHeight w:val="428" w:hRule="atLeast"/>
          <w:jc w:val="center"/>
        </w:trPr>
        <w:tc>
          <w:tcPr>
            <w:tcW w:w="51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8035"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r>
      <w:tr>
        <w:tblPrEx>
          <w:tblCellMar>
            <w:top w:w="0" w:type="dxa"/>
            <w:left w:w="108" w:type="dxa"/>
            <w:bottom w:w="0" w:type="dxa"/>
            <w:right w:w="108" w:type="dxa"/>
          </w:tblCellMar>
        </w:tblPrEx>
        <w:trPr>
          <w:trHeight w:val="675" w:hRule="exac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科目编码</w:t>
            </w:r>
          </w:p>
        </w:tc>
        <w:tc>
          <w:tcPr>
            <w:tcW w:w="341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25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25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r>
      <w:tr>
        <w:tblPrEx>
          <w:tblCellMar>
            <w:top w:w="0" w:type="dxa"/>
            <w:left w:w="108" w:type="dxa"/>
            <w:bottom w:w="0" w:type="dxa"/>
            <w:right w:w="108" w:type="dxa"/>
          </w:tblCellMar>
        </w:tblPrEx>
        <w:trPr>
          <w:trHeight w:val="454" w:hRule="exact"/>
          <w:jc w:val="center"/>
        </w:trPr>
        <w:tc>
          <w:tcPr>
            <w:tcW w:w="51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253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297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25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r>
      <w:tr>
        <w:tblPrEx>
          <w:tblCellMar>
            <w:top w:w="0" w:type="dxa"/>
            <w:left w:w="108" w:type="dxa"/>
            <w:bottom w:w="0" w:type="dxa"/>
            <w:right w:w="108" w:type="dxa"/>
          </w:tblCellMar>
        </w:tblPrEx>
        <w:trPr>
          <w:trHeight w:val="454" w:hRule="exact"/>
          <w:jc w:val="center"/>
        </w:trPr>
        <w:tc>
          <w:tcPr>
            <w:tcW w:w="5117"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2537"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441.06</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314.44</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126.62</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shd w:val="clear" w:color="auto" w:fill="FFFFFF"/>
            <w:vAlign w:val="center"/>
          </w:tcPr>
          <w:p>
            <w:pPr>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lang w:val="en-US" w:eastAsia="zh-CN"/>
              </w:rPr>
              <w:t>201</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lang w:eastAsia="zh-CN"/>
              </w:rPr>
              <w:t>一般公共服务支出</w:t>
            </w:r>
          </w:p>
        </w:tc>
        <w:tc>
          <w:tcPr>
            <w:tcW w:w="253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441.07</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314.45</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126.62</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lang w:val="en-US" w:eastAsia="zh-CN"/>
              </w:rPr>
              <w:t>20103</w:t>
            </w:r>
          </w:p>
        </w:tc>
        <w:tc>
          <w:tcPr>
            <w:tcW w:w="3416" w:type="dxa"/>
            <w:tcBorders>
              <w:top w:val="nil"/>
              <w:left w:val="nil"/>
              <w:bottom w:val="single" w:color="auto" w:sz="4" w:space="0"/>
              <w:right w:val="single" w:color="auto" w:sz="4" w:space="0"/>
            </w:tcBorders>
            <w:shd w:val="clear" w:color="auto" w:fill="FFFFFF"/>
            <w:vAlign w:val="center"/>
          </w:tcPr>
          <w:p>
            <w:pPr>
              <w:widowControl/>
              <w:spacing w:line="300" w:lineRule="exact"/>
              <w:jc w:val="left"/>
              <w:rPr>
                <w:rFonts w:ascii="仿宋_GB2312" w:hAnsi="宋体" w:eastAsia="仿宋_GB2312" w:cs="宋体"/>
                <w:b/>
                <w:bCs/>
                <w:kern w:val="0"/>
                <w:sz w:val="22"/>
              </w:rPr>
            </w:pPr>
            <w:r>
              <w:rPr>
                <w:rFonts w:hint="eastAsia" w:ascii="仿宋_GB2312" w:hAnsi="宋体" w:eastAsia="仿宋_GB2312" w:cs="宋体"/>
                <w:b/>
                <w:bCs/>
                <w:kern w:val="0"/>
                <w:sz w:val="22"/>
                <w:lang w:eastAsia="zh-CN"/>
              </w:rPr>
              <w:t>政府办公厅（室）及相关机构事务</w:t>
            </w:r>
          </w:p>
        </w:tc>
        <w:tc>
          <w:tcPr>
            <w:tcW w:w="253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rPr>
            </w:pPr>
            <w:r>
              <w:rPr>
                <w:rFonts w:hint="eastAsia" w:ascii="仿宋_GB2312" w:hAnsi="宋体" w:eastAsia="仿宋_GB2312" w:cs="宋体"/>
                <w:kern w:val="0"/>
                <w:sz w:val="22"/>
                <w:lang w:val="en-US" w:eastAsia="zh-CN"/>
              </w:rPr>
              <w:t>441.07</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314.45</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126.62</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2010301</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lang w:eastAsia="zh-CN"/>
              </w:rPr>
              <w:t>行政运行</w:t>
            </w:r>
          </w:p>
        </w:tc>
        <w:tc>
          <w:tcPr>
            <w:tcW w:w="253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381.84</w:t>
            </w:r>
          </w:p>
        </w:tc>
        <w:tc>
          <w:tcPr>
            <w:tcW w:w="297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314.44</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67.39</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2010302</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lang w:val="en-US" w:eastAsia="zh-CN"/>
              </w:rPr>
              <w:t xml:space="preserve"> </w:t>
            </w:r>
            <w:r>
              <w:rPr>
                <w:rFonts w:hint="eastAsia" w:ascii="仿宋_GB2312" w:hAnsi="宋体" w:eastAsia="仿宋_GB2312" w:cs="宋体"/>
                <w:kern w:val="0"/>
                <w:sz w:val="22"/>
                <w:lang w:eastAsia="zh-CN"/>
              </w:rPr>
              <w:t>一般行政管理事务</w:t>
            </w:r>
          </w:p>
        </w:tc>
        <w:tc>
          <w:tcPr>
            <w:tcW w:w="253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59.23</w:t>
            </w:r>
          </w:p>
        </w:tc>
        <w:tc>
          <w:tcPr>
            <w:tcW w:w="297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59.23</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37"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37"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37"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exact"/>
          <w:jc w:val="center"/>
        </w:trPr>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416"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37"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97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52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400" w:lineRule="exact"/>
        <w:ind w:firstLine="108" w:firstLineChars="50"/>
        <w:jc w:val="left"/>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r>
        <w:rPr>
          <w:rFonts w:hint="eastAsia" w:ascii="仿宋_GB2312" w:hAnsi="宋体" w:eastAsia="仿宋_GB2312"/>
          <w:sz w:val="22"/>
        </w:rPr>
        <w:t>注：本表反映部门本年度一般公共预算财政拨款支出情况。</w:t>
      </w:r>
      <w:r>
        <w:rPr>
          <w:rFonts w:hint="eastAsia" w:ascii="仿宋_GB2312" w:hAnsi="宋体" w:eastAsia="仿宋_GB2312"/>
          <w:sz w:val="22"/>
          <w:lang w:eastAsia="zh-CN"/>
        </w:rPr>
        <w:t>（</w:t>
      </w:r>
      <w:r>
        <w:rPr>
          <w:rFonts w:hint="eastAsia" w:ascii="仿宋_GB2312" w:hAnsi="宋体" w:eastAsia="仿宋_GB2312"/>
          <w:sz w:val="18"/>
          <w:szCs w:val="18"/>
          <w:lang w:eastAsia="zh-CN"/>
        </w:rPr>
        <w:t>本表金额转化为万元时，因四舍五入可能存在尾差</w:t>
      </w:r>
      <w:r>
        <w:rPr>
          <w:rFonts w:hint="eastAsia" w:ascii="仿宋_GB2312" w:hAnsi="宋体" w:eastAsia="仿宋_GB2312"/>
          <w:sz w:val="22"/>
          <w:lang w:eastAsia="zh-CN"/>
        </w:rPr>
        <w:t>）</w:t>
      </w: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一般公共预算财政拨款基本支出决算表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公开06表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3"/>
        <w:tblW w:w="13275" w:type="dxa"/>
        <w:jc w:val="center"/>
        <w:tblLayout w:type="fixed"/>
        <w:tblCellMar>
          <w:top w:w="0" w:type="dxa"/>
          <w:left w:w="108" w:type="dxa"/>
          <w:bottom w:w="0" w:type="dxa"/>
          <w:right w:w="108" w:type="dxa"/>
        </w:tblCellMar>
      </w:tblPr>
      <w:tblGrid>
        <w:gridCol w:w="1008"/>
        <w:gridCol w:w="3023"/>
        <w:gridCol w:w="847"/>
        <w:gridCol w:w="1138"/>
        <w:gridCol w:w="1984"/>
        <w:gridCol w:w="833"/>
        <w:gridCol w:w="1010"/>
        <w:gridCol w:w="2551"/>
        <w:gridCol w:w="881"/>
      </w:tblGrid>
      <w:tr>
        <w:tblPrEx>
          <w:tblCellMar>
            <w:top w:w="0" w:type="dxa"/>
            <w:left w:w="108" w:type="dxa"/>
            <w:bottom w:w="0" w:type="dxa"/>
            <w:right w:w="108" w:type="dxa"/>
          </w:tblCellMar>
        </w:tblPrEx>
        <w:trPr>
          <w:trHeight w:val="369" w:hRule="atLeast"/>
          <w:tblHeader/>
          <w:jc w:val="center"/>
        </w:trPr>
        <w:tc>
          <w:tcPr>
            <w:tcW w:w="4878" w:type="dxa"/>
            <w:gridSpan w:val="3"/>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w:t>
            </w:r>
          </w:p>
        </w:tc>
        <w:tc>
          <w:tcPr>
            <w:tcW w:w="8397" w:type="dxa"/>
            <w:gridSpan w:val="6"/>
            <w:tcBorders>
              <w:top w:val="single" w:color="auto" w:sz="8" w:space="0"/>
              <w:left w:val="nil"/>
              <w:bottom w:val="single" w:color="auto" w:sz="4" w:space="0"/>
              <w:right w:val="single" w:color="000000"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w:t>
            </w:r>
          </w:p>
        </w:tc>
      </w:tr>
      <w:tr>
        <w:tblPrEx>
          <w:tblCellMar>
            <w:top w:w="0" w:type="dxa"/>
            <w:left w:w="108" w:type="dxa"/>
            <w:bottom w:w="0" w:type="dxa"/>
            <w:right w:w="108" w:type="dxa"/>
          </w:tblCellMar>
        </w:tblPrEx>
        <w:trPr>
          <w:trHeight w:val="300" w:hRule="atLeast"/>
          <w:tblHeader/>
          <w:jc w:val="center"/>
        </w:trPr>
        <w:tc>
          <w:tcPr>
            <w:tcW w:w="1008" w:type="dxa"/>
            <w:vMerge w:val="restart"/>
            <w:tcBorders>
              <w:top w:val="nil"/>
              <w:left w:val="single" w:color="auto" w:sz="8"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 科目编码</w:t>
            </w:r>
          </w:p>
        </w:tc>
        <w:tc>
          <w:tcPr>
            <w:tcW w:w="302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4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138"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1984"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33"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c>
          <w:tcPr>
            <w:tcW w:w="101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经济分类科目编码</w:t>
            </w:r>
          </w:p>
        </w:tc>
        <w:tc>
          <w:tcPr>
            <w:tcW w:w="2551"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科目名称</w:t>
            </w:r>
          </w:p>
        </w:tc>
        <w:tc>
          <w:tcPr>
            <w:tcW w:w="881" w:type="dxa"/>
            <w:vMerge w:val="restart"/>
            <w:tcBorders>
              <w:top w:val="nil"/>
              <w:left w:val="single" w:color="auto" w:sz="4" w:space="0"/>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决算数</w:t>
            </w:r>
          </w:p>
        </w:tc>
      </w:tr>
      <w:tr>
        <w:tblPrEx>
          <w:tblCellMar>
            <w:top w:w="0" w:type="dxa"/>
            <w:left w:w="108" w:type="dxa"/>
            <w:bottom w:w="0" w:type="dxa"/>
            <w:right w:w="108" w:type="dxa"/>
          </w:tblCellMar>
        </w:tblPrEx>
        <w:trPr>
          <w:trHeight w:val="300" w:hRule="atLeast"/>
          <w:tblHeader/>
          <w:jc w:val="center"/>
        </w:trPr>
        <w:tc>
          <w:tcPr>
            <w:tcW w:w="1008" w:type="dxa"/>
            <w:vMerge w:val="continue"/>
            <w:tcBorders>
              <w:top w:val="nil"/>
              <w:left w:val="single" w:color="auto" w:sz="8"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302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4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13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984"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33"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101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2551"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2"/>
              </w:rPr>
            </w:pPr>
          </w:p>
        </w:tc>
        <w:tc>
          <w:tcPr>
            <w:tcW w:w="881" w:type="dxa"/>
            <w:vMerge w:val="continue"/>
            <w:tcBorders>
              <w:top w:val="nil"/>
              <w:left w:val="single" w:color="auto" w:sz="4" w:space="0"/>
              <w:bottom w:val="single" w:color="auto" w:sz="4" w:space="0"/>
              <w:right w:val="single" w:color="auto" w:sz="8" w:space="0"/>
            </w:tcBorders>
            <w:vAlign w:val="center"/>
          </w:tcPr>
          <w:p>
            <w:pPr>
              <w:widowControl/>
              <w:spacing w:line="300" w:lineRule="exact"/>
              <w:jc w:val="left"/>
              <w:rPr>
                <w:rFonts w:ascii="仿宋_GB2312" w:hAnsi="宋体" w:eastAsia="仿宋_GB2312" w:cs="宋体"/>
                <w:color w:val="000000"/>
                <w:kern w:val="0"/>
                <w:sz w:val="22"/>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工资福利支出</w:t>
            </w:r>
          </w:p>
        </w:tc>
        <w:tc>
          <w:tcPr>
            <w:tcW w:w="847" w:type="dxa"/>
            <w:tcBorders>
              <w:top w:val="nil"/>
              <w:left w:val="nil"/>
              <w:bottom w:val="single" w:color="auto" w:sz="4" w:space="0"/>
              <w:right w:val="single" w:color="auto" w:sz="4" w:space="0"/>
            </w:tcBorders>
            <w:vAlign w:val="center"/>
          </w:tcPr>
          <w:p>
            <w:pPr>
              <w:widowControl/>
              <w:spacing w:line="300" w:lineRule="exac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258.49</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28.72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债务利息及费用支出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9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基本工资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167.36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9.80</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津贴补贴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21.91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印刷费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0.69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国外债务付息</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奖金</w:t>
            </w:r>
          </w:p>
        </w:tc>
        <w:tc>
          <w:tcPr>
            <w:tcW w:w="847" w:type="dxa"/>
            <w:tcBorders>
              <w:top w:val="nil"/>
              <w:left w:val="nil"/>
              <w:bottom w:val="single" w:color="auto" w:sz="4" w:space="0"/>
              <w:right w:val="single" w:color="auto" w:sz="4" w:space="0"/>
            </w:tcBorders>
            <w:vAlign w:val="center"/>
          </w:tcPr>
          <w:p>
            <w:pPr>
              <w:widowControl/>
              <w:tabs>
                <w:tab w:val="left" w:pos="562"/>
              </w:tabs>
              <w:spacing w:line="300" w:lineRule="exact"/>
              <w:jc w:val="left"/>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val="en-US" w:eastAsia="zh-CN"/>
              </w:rPr>
              <w:t>11.03</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咨询费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国内债务发行费用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伙食补助费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手续费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30704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国外债务发行费用</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绩效工资</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水费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机关事业单位基本养老保险缴费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28.95</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房屋建筑物购建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职业年金缴费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5.91</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邮电费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0.77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办公设备购置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职工基本医疗保险缴费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取暖费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专用设备购置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公务员医疗补助缴费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30209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物业管理费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基础设施建设</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其他社会保障缴费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差旅费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2.67</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大型修缮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住房公积金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17.26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30212</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因公出国（境）费用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信息网络及软件购置更新</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30114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30213</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维修(护)费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0.12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物资储备</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其他工资福利支出</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6.07</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租赁费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31009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土地补偿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27.24</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会议费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0.11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31010</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安置补助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30301</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离休费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培训费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地上附着物和青苗补偿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30302</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退休费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2.36</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公务接待费</w:t>
            </w:r>
          </w:p>
        </w:tc>
        <w:tc>
          <w:tcPr>
            <w:tcW w:w="833" w:type="dxa"/>
            <w:tcBorders>
              <w:top w:val="nil"/>
              <w:left w:val="nil"/>
              <w:bottom w:val="single" w:color="auto" w:sz="4" w:space="0"/>
              <w:right w:val="single" w:color="auto" w:sz="4" w:space="0"/>
            </w:tcBorders>
            <w:vAlign w:val="center"/>
          </w:tcPr>
          <w:p>
            <w:pPr>
              <w:widowControl/>
              <w:tabs>
                <w:tab w:val="left" w:pos="439"/>
              </w:tabs>
              <w:spacing w:line="300" w:lineRule="exact"/>
              <w:jc w:val="left"/>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val="en-US" w:eastAsia="zh-CN"/>
              </w:rPr>
              <w:t>0.23</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拆迁补偿</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30303</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退职（役）费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30218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专用材料费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30304</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抚恤金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24.88</w:t>
            </w: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30224</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被装购置费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31019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其他交通工具购置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30305</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生活补助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30225</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专用燃料费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文物和陈列品购置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30306</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救济费</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30226</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劳务费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31022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无形资产购置</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30307</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医疗费补助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30227</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委托业务费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31099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其他资本性支出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30308</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助学金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30228</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工会经费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2.79</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30309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奖励金</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30229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福利费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31201</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资本金注入</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30310</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个人农业生产补贴</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30231</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公务用车运行维护费</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31203</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政府投资基金股权投资</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30399</w:t>
            </w: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其他对个人和家庭的补助</w:t>
            </w: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30239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其他交通费用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10.51</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31204</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费用补贴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30240</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税金及附加费用</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31205</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利息补贴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30299</w:t>
            </w: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其他商品和服务支出</w:t>
            </w: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1.02</w:t>
            </w: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31299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其他对企业补助</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39906</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赠与</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39907</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国家赔偿费用支出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39908</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对民间非营利组织和群众性自治组织补贴</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1008" w:type="dxa"/>
            <w:tcBorders>
              <w:top w:val="nil"/>
              <w:left w:val="single" w:color="auto" w:sz="8" w:space="0"/>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302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84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138"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1984"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p>
        </w:tc>
        <w:tc>
          <w:tcPr>
            <w:tcW w:w="833"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color w:val="000000"/>
                <w:kern w:val="0"/>
                <w:sz w:val="20"/>
                <w:szCs w:val="20"/>
              </w:rPr>
            </w:pPr>
          </w:p>
        </w:tc>
        <w:tc>
          <w:tcPr>
            <w:tcW w:w="1010"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39999</w:t>
            </w:r>
          </w:p>
        </w:tc>
        <w:tc>
          <w:tcPr>
            <w:tcW w:w="2551" w:type="dxa"/>
            <w:tcBorders>
              <w:top w:val="nil"/>
              <w:left w:val="nil"/>
              <w:bottom w:val="single" w:color="auto" w:sz="4" w:space="0"/>
              <w:right w:val="single" w:color="auto" w:sz="4" w:space="0"/>
            </w:tcBorders>
            <w:vAlign w:val="center"/>
          </w:tcPr>
          <w:p>
            <w:pPr>
              <w:widowControl/>
              <w:spacing w:line="300" w:lineRule="exac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其他支出</w:t>
            </w:r>
          </w:p>
        </w:tc>
        <w:tc>
          <w:tcPr>
            <w:tcW w:w="881" w:type="dxa"/>
            <w:tcBorders>
              <w:top w:val="nil"/>
              <w:left w:val="nil"/>
              <w:bottom w:val="single" w:color="auto" w:sz="4" w:space="0"/>
              <w:right w:val="single" w:color="auto" w:sz="8" w:space="0"/>
            </w:tcBorders>
            <w:vAlign w:val="center"/>
          </w:tcPr>
          <w:p>
            <w:pPr>
              <w:widowControl/>
              <w:spacing w:line="300" w:lineRule="exact"/>
              <w:jc w:val="center"/>
              <w:rPr>
                <w:rFonts w:ascii="仿宋_GB2312" w:hAnsi="宋体" w:eastAsia="仿宋_GB2312" w:cs="宋体"/>
                <w:color w:val="000000"/>
                <w:kern w:val="0"/>
                <w:sz w:val="20"/>
                <w:szCs w:val="20"/>
              </w:rPr>
            </w:pPr>
          </w:p>
        </w:tc>
      </w:tr>
      <w:tr>
        <w:tblPrEx>
          <w:tblCellMar>
            <w:top w:w="0" w:type="dxa"/>
            <w:left w:w="108" w:type="dxa"/>
            <w:bottom w:w="0" w:type="dxa"/>
            <w:right w:w="108" w:type="dxa"/>
          </w:tblCellMar>
        </w:tblPrEx>
        <w:trPr>
          <w:trHeight w:val="20" w:hRule="atLeast"/>
          <w:jc w:val="center"/>
        </w:trPr>
        <w:tc>
          <w:tcPr>
            <w:tcW w:w="4031" w:type="dxa"/>
            <w:gridSpan w:val="2"/>
            <w:tcBorders>
              <w:top w:val="single" w:color="auto" w:sz="4" w:space="0"/>
              <w:left w:val="single" w:color="auto" w:sz="8" w:space="0"/>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人员经费合计</w:t>
            </w:r>
          </w:p>
        </w:tc>
        <w:tc>
          <w:tcPr>
            <w:tcW w:w="847" w:type="dxa"/>
            <w:tcBorders>
              <w:top w:val="nil"/>
              <w:left w:val="nil"/>
              <w:bottom w:val="single" w:color="auto" w:sz="8" w:space="0"/>
              <w:right w:val="single" w:color="auto" w:sz="4"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285.73</w:t>
            </w:r>
          </w:p>
        </w:tc>
        <w:tc>
          <w:tcPr>
            <w:tcW w:w="7516" w:type="dxa"/>
            <w:gridSpan w:val="5"/>
            <w:tcBorders>
              <w:top w:val="single" w:color="auto" w:sz="4" w:space="0"/>
              <w:left w:val="nil"/>
              <w:bottom w:val="single" w:color="auto" w:sz="8" w:space="0"/>
              <w:right w:val="single" w:color="auto" w:sz="4" w:space="0"/>
            </w:tcBorders>
            <w:vAlign w:val="center"/>
          </w:tcPr>
          <w:p>
            <w:pPr>
              <w:widowControl/>
              <w:spacing w:line="300" w:lineRule="exact"/>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公用经费合计</w:t>
            </w:r>
          </w:p>
        </w:tc>
        <w:tc>
          <w:tcPr>
            <w:tcW w:w="881" w:type="dxa"/>
            <w:tcBorders>
              <w:top w:val="nil"/>
              <w:left w:val="nil"/>
              <w:bottom w:val="single" w:color="auto" w:sz="8" w:space="0"/>
              <w:right w:val="single" w:color="auto" w:sz="8" w:space="0"/>
            </w:tcBorders>
            <w:vAlign w:val="center"/>
          </w:tcPr>
          <w:p>
            <w:pPr>
              <w:widowControl/>
              <w:spacing w:line="300" w:lineRule="exact"/>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28.71</w:t>
            </w:r>
          </w:p>
        </w:tc>
      </w:tr>
    </w:tbl>
    <w:p>
      <w:pPr>
        <w:spacing w:line="400" w:lineRule="exact"/>
        <w:ind w:firstLine="108" w:firstLineChars="50"/>
        <w:jc w:val="left"/>
        <w:rPr>
          <w:rFonts w:ascii="仿宋_GB2312" w:hAnsi="宋体" w:eastAsia="仿宋_GB2312"/>
          <w:sz w:val="22"/>
        </w:rPr>
      </w:pPr>
      <w:r>
        <w:rPr>
          <w:rFonts w:hint="eastAsia" w:ascii="仿宋_GB2312" w:hAnsi="宋体" w:eastAsia="仿宋_GB2312"/>
          <w:sz w:val="22"/>
        </w:rPr>
        <w:t>注:本表反映部门本年度一般公共预算财政拨款基本支出明细情况。</w:t>
      </w:r>
    </w:p>
    <w:p>
      <w:pPr>
        <w:rPr>
          <w:rFonts w:ascii="仿宋_GB2312" w:hAnsi="宋体" w:eastAsia="仿宋_GB2312"/>
          <w:sz w:val="22"/>
        </w:rPr>
        <w:sectPr>
          <w:pgSz w:w="16838" w:h="11906" w:orient="landscape"/>
          <w:pgMar w:top="1531" w:right="1701" w:bottom="1531" w:left="1701" w:header="0" w:footer="1417" w:gutter="0"/>
          <w:cols w:space="0" w:num="1"/>
          <w:rtlGutter w:val="0"/>
          <w:docGrid w:type="linesAndChars" w:linePitch="610" w:charSpace="-849"/>
        </w:sectPr>
      </w:pPr>
    </w:p>
    <w:p>
      <w:pPr>
        <w:jc w:val="center"/>
        <w:rPr>
          <w:rFonts w:ascii="方正小标宋简体" w:eastAsia="方正小标宋简体"/>
          <w:sz w:val="44"/>
          <w:szCs w:val="44"/>
        </w:rPr>
      </w:pPr>
      <w:r>
        <w:rPr>
          <w:rFonts w:hint="eastAsia" w:ascii="方正小标宋简体" w:eastAsia="方正小标宋简体"/>
          <w:sz w:val="44"/>
          <w:szCs w:val="44"/>
        </w:rPr>
        <w:t>一般公共预算财政拨款“三公”经费支出决算表</w:t>
      </w:r>
    </w:p>
    <w:p>
      <w:pPr>
        <w:wordWrap w:val="0"/>
        <w:spacing w:line="400" w:lineRule="exact"/>
        <w:jc w:val="right"/>
        <w:rPr>
          <w:rFonts w:ascii="楷体_GB2312" w:eastAsia="楷体_GB2312"/>
          <w:sz w:val="28"/>
          <w:szCs w:val="28"/>
        </w:rPr>
      </w:pPr>
      <w:r>
        <w:rPr>
          <w:rFonts w:hint="eastAsia" w:ascii="方正小标宋简体" w:eastAsia="方正小标宋简体"/>
          <w:sz w:val="44"/>
          <w:szCs w:val="44"/>
        </w:rPr>
        <w:t>　</w:t>
      </w:r>
      <w:r>
        <w:rPr>
          <w:rFonts w:hint="eastAsia" w:ascii="楷体_GB2312" w:eastAsia="楷体_GB2312"/>
          <w:sz w:val="28"/>
          <w:szCs w:val="28"/>
        </w:rPr>
        <w:t xml:space="preserve">   </w:t>
      </w:r>
      <w:r>
        <w:rPr>
          <w:rFonts w:ascii="楷体_GB2312" w:eastAsia="楷体_GB2312"/>
          <w:sz w:val="28"/>
          <w:szCs w:val="28"/>
        </w:rPr>
        <w:t xml:space="preserve">          </w:t>
      </w:r>
      <w:r>
        <w:rPr>
          <w:rFonts w:hint="eastAsia" w:ascii="楷体_GB2312" w:eastAsia="楷体_GB2312"/>
          <w:sz w:val="28"/>
          <w:szCs w:val="28"/>
        </w:rPr>
        <w:t>公开07表</w:t>
      </w:r>
    </w:p>
    <w:p>
      <w:pPr>
        <w:spacing w:line="400" w:lineRule="exact"/>
        <w:ind w:firstLine="138" w:firstLineChars="50"/>
        <w:jc w:val="left"/>
        <w:rPr>
          <w:rFonts w:ascii="楷体_GB2312" w:eastAsia="楷体_GB2312"/>
          <w:sz w:val="28"/>
          <w:szCs w:val="28"/>
        </w:rPr>
      </w:pPr>
      <w:r>
        <w:rPr>
          <w:rFonts w:hint="eastAsia" w:ascii="楷体_GB2312" w:eastAsia="楷体_GB2312"/>
          <w:sz w:val="28"/>
          <w:szCs w:val="28"/>
          <w:lang w:eastAsia="zh-CN"/>
        </w:rPr>
        <w:t>单位</w:t>
      </w:r>
      <w:r>
        <w:rPr>
          <w:rFonts w:hint="eastAsia" w:ascii="楷体_GB2312" w:eastAsia="楷体_GB2312"/>
          <w:sz w:val="28"/>
          <w:szCs w:val="28"/>
        </w:rPr>
        <w:t>：</w:t>
      </w:r>
      <w:r>
        <w:rPr>
          <w:rFonts w:hint="eastAsia" w:ascii="楷体_GB2312" w:eastAsia="楷体_GB2312"/>
          <w:sz w:val="28"/>
          <w:szCs w:val="28"/>
          <w:lang w:eastAsia="zh-CN"/>
        </w:rPr>
        <w:t>济宁市人民政府外事办公室</w:t>
      </w:r>
      <w:r>
        <w:rPr>
          <w:rFonts w:hint="eastAsia" w:ascii="楷体_GB2312" w:eastAsia="楷体_GB2312"/>
          <w:sz w:val="28"/>
          <w:szCs w:val="28"/>
        </w:rPr>
        <w:t xml:space="preserve">                   </w:t>
      </w:r>
      <w:r>
        <w:rPr>
          <w:rFonts w:hint="eastAsia" w:ascii="楷体_GB2312" w:eastAsia="楷体_GB2312"/>
          <w:sz w:val="28"/>
          <w:szCs w:val="28"/>
          <w:lang w:val="en-US" w:eastAsia="zh-CN"/>
        </w:rPr>
        <w:t>2020年度</w:t>
      </w:r>
      <w:r>
        <w:rPr>
          <w:rFonts w:hint="eastAsia" w:ascii="楷体_GB2312" w:eastAsia="楷体_GB2312"/>
          <w:sz w:val="28"/>
          <w:szCs w:val="28"/>
          <w:lang w:eastAsia="zh-CN"/>
        </w:rPr>
        <w:t xml:space="preserve"> </w:t>
      </w:r>
      <w:r>
        <w:rPr>
          <w:rFonts w:hint="eastAsia" w:ascii="楷体_GB2312" w:eastAsia="楷体_GB2312"/>
          <w:sz w:val="28"/>
          <w:szCs w:val="28"/>
        </w:rPr>
        <w:t xml:space="preserve">                           </w:t>
      </w:r>
      <w:r>
        <w:rPr>
          <w:rFonts w:hint="eastAsia" w:ascii="楷体_GB2312" w:eastAsia="楷体_GB2312"/>
          <w:sz w:val="28"/>
          <w:szCs w:val="28"/>
          <w:lang w:eastAsia="zh-CN"/>
        </w:rPr>
        <w:t>单位：万元</w:t>
      </w:r>
      <w:r>
        <w:rPr>
          <w:rFonts w:ascii="楷体_GB2312" w:eastAsia="楷体_GB2312"/>
          <w:sz w:val="28"/>
          <w:szCs w:val="28"/>
        </w:rPr>
        <w:t xml:space="preserve"> </w:t>
      </w:r>
      <w:r>
        <w:rPr>
          <w:rFonts w:hint="eastAsia" w:ascii="楷体_GB2312" w:eastAsia="楷体_GB2312"/>
          <w:sz w:val="28"/>
          <w:szCs w:val="28"/>
        </w:rPr>
        <w:t xml:space="preserve">                </w:t>
      </w:r>
    </w:p>
    <w:tbl>
      <w:tblPr>
        <w:tblStyle w:val="13"/>
        <w:tblW w:w="13256" w:type="dxa"/>
        <w:jc w:val="center"/>
        <w:tblLayout w:type="fixed"/>
        <w:tblCellMar>
          <w:top w:w="0" w:type="dxa"/>
          <w:left w:w="108" w:type="dxa"/>
          <w:bottom w:w="0" w:type="dxa"/>
          <w:right w:w="108" w:type="dxa"/>
        </w:tblCellMar>
      </w:tblPr>
      <w:tblGrid>
        <w:gridCol w:w="1179"/>
        <w:gridCol w:w="1195"/>
        <w:gridCol w:w="1180"/>
        <w:gridCol w:w="1180"/>
        <w:gridCol w:w="1188"/>
        <w:gridCol w:w="962"/>
        <w:gridCol w:w="1098"/>
        <w:gridCol w:w="1143"/>
        <w:gridCol w:w="851"/>
        <w:gridCol w:w="1132"/>
        <w:gridCol w:w="1164"/>
        <w:gridCol w:w="984"/>
      </w:tblGrid>
      <w:tr>
        <w:tblPrEx>
          <w:tblCellMar>
            <w:top w:w="0" w:type="dxa"/>
            <w:left w:w="108" w:type="dxa"/>
            <w:bottom w:w="0" w:type="dxa"/>
            <w:right w:w="108" w:type="dxa"/>
          </w:tblCellMar>
        </w:tblPrEx>
        <w:trPr>
          <w:trHeight w:val="862" w:hRule="atLeast"/>
          <w:jc w:val="center"/>
        </w:trPr>
        <w:tc>
          <w:tcPr>
            <w:tcW w:w="6884" w:type="dxa"/>
            <w:gridSpan w:val="6"/>
            <w:tcBorders>
              <w:top w:val="single" w:color="auto" w:sz="8" w:space="0"/>
              <w:left w:val="single" w:color="auto" w:sz="8" w:space="0"/>
              <w:bottom w:val="single" w:color="auto" w:sz="4"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预 算 数</w:t>
            </w:r>
          </w:p>
        </w:tc>
        <w:tc>
          <w:tcPr>
            <w:tcW w:w="6372"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决 算 数　</w:t>
            </w:r>
          </w:p>
        </w:tc>
      </w:tr>
      <w:tr>
        <w:tblPrEx>
          <w:tblCellMar>
            <w:top w:w="0" w:type="dxa"/>
            <w:left w:w="108" w:type="dxa"/>
            <w:bottom w:w="0" w:type="dxa"/>
            <w:right w:w="108" w:type="dxa"/>
          </w:tblCellMar>
        </w:tblPrEx>
        <w:trPr>
          <w:trHeight w:val="862" w:hRule="atLeast"/>
          <w:jc w:val="center"/>
        </w:trPr>
        <w:tc>
          <w:tcPr>
            <w:tcW w:w="1179" w:type="dxa"/>
            <w:vMerge w:val="restart"/>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9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54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62" w:type="dxa"/>
            <w:vMerge w:val="restart"/>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c>
          <w:tcPr>
            <w:tcW w:w="1098"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14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因公出国（境）费</w:t>
            </w:r>
          </w:p>
        </w:tc>
        <w:tc>
          <w:tcPr>
            <w:tcW w:w="3147" w:type="dxa"/>
            <w:gridSpan w:val="3"/>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公务用车购置及运行费</w:t>
            </w:r>
          </w:p>
        </w:tc>
        <w:tc>
          <w:tcPr>
            <w:tcW w:w="984" w:type="dxa"/>
            <w:vMerge w:val="restart"/>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w:t>
            </w:r>
          </w:p>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接待费</w:t>
            </w:r>
          </w:p>
        </w:tc>
      </w:tr>
      <w:tr>
        <w:tblPrEx>
          <w:tblCellMar>
            <w:top w:w="0" w:type="dxa"/>
            <w:left w:w="108" w:type="dxa"/>
            <w:bottom w:w="0" w:type="dxa"/>
            <w:right w:w="108" w:type="dxa"/>
          </w:tblCellMar>
        </w:tblPrEx>
        <w:trPr>
          <w:trHeight w:val="862" w:hRule="atLeast"/>
          <w:jc w:val="center"/>
        </w:trPr>
        <w:tc>
          <w:tcPr>
            <w:tcW w:w="1179" w:type="dxa"/>
            <w:vMerge w:val="continue"/>
            <w:tcBorders>
              <w:top w:val="nil"/>
              <w:left w:val="single" w:color="auto" w:sz="8"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95"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8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88"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62" w:type="dxa"/>
            <w:vMerge w:val="continue"/>
            <w:tcBorders>
              <w:top w:val="nil"/>
              <w:left w:val="single" w:color="auto" w:sz="4" w:space="0"/>
              <w:bottom w:val="single" w:color="auto" w:sz="4" w:space="0"/>
              <w:right w:val="single" w:color="000000" w:sz="8" w:space="0"/>
            </w:tcBorders>
            <w:shd w:val="clear" w:color="auto" w:fill="auto"/>
            <w:vAlign w:val="center"/>
          </w:tcPr>
          <w:p>
            <w:pPr>
              <w:widowControl/>
              <w:spacing w:line="300" w:lineRule="exact"/>
              <w:jc w:val="left"/>
              <w:rPr>
                <w:rFonts w:ascii="仿宋_GB2312" w:hAnsi="宋体" w:eastAsia="仿宋_GB2312" w:cs="宋体"/>
                <w:kern w:val="0"/>
                <w:sz w:val="22"/>
              </w:rPr>
            </w:pPr>
          </w:p>
        </w:tc>
        <w:tc>
          <w:tcPr>
            <w:tcW w:w="1098"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114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00" w:lineRule="exact"/>
              <w:jc w:val="left"/>
              <w:rPr>
                <w:rFonts w:ascii="仿宋_GB2312" w:hAnsi="宋体" w:eastAsia="仿宋_GB2312" w:cs="宋体"/>
                <w:kern w:val="0"/>
                <w:sz w:val="22"/>
              </w:rPr>
            </w:pP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公务用车购置费</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公务用车运行费</w:t>
            </w:r>
          </w:p>
        </w:tc>
        <w:tc>
          <w:tcPr>
            <w:tcW w:w="984" w:type="dxa"/>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left"/>
              <w:rPr>
                <w:rFonts w:ascii="仿宋_GB2312" w:hAnsi="宋体" w:eastAsia="仿宋_GB2312" w:cs="宋体"/>
                <w:kern w:val="0"/>
                <w:sz w:val="22"/>
              </w:rPr>
            </w:pPr>
          </w:p>
        </w:tc>
      </w:tr>
      <w:tr>
        <w:tblPrEx>
          <w:tblCellMar>
            <w:top w:w="0" w:type="dxa"/>
            <w:left w:w="108" w:type="dxa"/>
            <w:bottom w:w="0" w:type="dxa"/>
            <w:right w:w="108" w:type="dxa"/>
          </w:tblCellMar>
        </w:tblPrEx>
        <w:trPr>
          <w:trHeight w:val="623"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11</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12</w:t>
            </w:r>
          </w:p>
        </w:tc>
      </w:tr>
      <w:tr>
        <w:tblPrEx>
          <w:tblCellMar>
            <w:top w:w="0" w:type="dxa"/>
            <w:left w:w="108" w:type="dxa"/>
            <w:bottom w:w="0" w:type="dxa"/>
            <w:right w:w="108" w:type="dxa"/>
          </w:tblCellMar>
        </w:tblPrEx>
        <w:trPr>
          <w:trHeight w:val="1296" w:hRule="atLeast"/>
          <w:jc w:val="center"/>
        </w:trPr>
        <w:tc>
          <w:tcPr>
            <w:tcW w:w="1179" w:type="dxa"/>
            <w:tcBorders>
              <w:top w:val="nil"/>
              <w:left w:val="single" w:color="auto" w:sz="8" w:space="0"/>
              <w:bottom w:val="single" w:color="auto" w:sz="8" w:space="0"/>
              <w:right w:val="single" w:color="auto" w:sz="4" w:space="0"/>
            </w:tcBorders>
            <w:shd w:val="clear" w:color="auto" w:fill="auto"/>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33.94</w:t>
            </w:r>
          </w:p>
        </w:tc>
        <w:tc>
          <w:tcPr>
            <w:tcW w:w="1195"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0.5</w:t>
            </w:r>
          </w:p>
        </w:tc>
        <w:tc>
          <w:tcPr>
            <w:tcW w:w="1180"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188" w:type="dxa"/>
            <w:tcBorders>
              <w:top w:val="nil"/>
              <w:left w:val="nil"/>
              <w:bottom w:val="single" w:color="auto" w:sz="8" w:space="0"/>
              <w:right w:val="single" w:color="auto" w:sz="4" w:space="0"/>
            </w:tcBorders>
            <w:shd w:val="clear" w:color="auto" w:fill="auto"/>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0.5</w:t>
            </w:r>
          </w:p>
        </w:tc>
        <w:tc>
          <w:tcPr>
            <w:tcW w:w="962" w:type="dxa"/>
            <w:tcBorders>
              <w:top w:val="nil"/>
              <w:left w:val="nil"/>
              <w:bottom w:val="single" w:color="auto" w:sz="8" w:space="0"/>
              <w:right w:val="single" w:color="000000" w:sz="8" w:space="0"/>
            </w:tcBorders>
            <w:shd w:val="clear" w:color="auto" w:fill="auto"/>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33.44</w:t>
            </w:r>
          </w:p>
        </w:tc>
        <w:tc>
          <w:tcPr>
            <w:tcW w:w="109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3.61</w:t>
            </w:r>
          </w:p>
        </w:tc>
        <w:tc>
          <w:tcPr>
            <w:tcW w:w="11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851"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132"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116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hint="eastAsia"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0</w:t>
            </w:r>
          </w:p>
        </w:tc>
        <w:tc>
          <w:tcPr>
            <w:tcW w:w="984" w:type="dxa"/>
            <w:tcBorders>
              <w:top w:val="single" w:color="000000" w:sz="8" w:space="0"/>
              <w:left w:val="single" w:color="000000" w:sz="8" w:space="0"/>
              <w:bottom w:val="single" w:color="000000" w:sz="8" w:space="0"/>
              <w:right w:val="single" w:color="000000" w:sz="8" w:space="0"/>
            </w:tcBorders>
            <w:vAlign w:val="center"/>
          </w:tcPr>
          <w:p>
            <w:pPr>
              <w:widowControl/>
              <w:spacing w:line="300" w:lineRule="exact"/>
              <w:jc w:val="center"/>
              <w:rPr>
                <w:rFonts w:hint="default" w:ascii="仿宋_GB2312" w:hAnsi="宋体" w:eastAsia="仿宋_GB2312" w:cs="宋体"/>
                <w:kern w:val="0"/>
                <w:sz w:val="22"/>
                <w:lang w:val="en-US" w:eastAsia="zh-CN"/>
              </w:rPr>
            </w:pPr>
            <w:r>
              <w:rPr>
                <w:rFonts w:hint="eastAsia" w:ascii="仿宋_GB2312" w:hAnsi="宋体" w:eastAsia="仿宋_GB2312" w:cs="宋体"/>
                <w:kern w:val="0"/>
                <w:sz w:val="22"/>
                <w:lang w:val="en-US" w:eastAsia="zh-CN"/>
              </w:rPr>
              <w:t>3.61</w:t>
            </w:r>
          </w:p>
        </w:tc>
      </w:tr>
    </w:tbl>
    <w:p>
      <w:pPr>
        <w:spacing w:line="360" w:lineRule="exact"/>
        <w:ind w:firstLine="108" w:firstLineChars="50"/>
        <w:rPr>
          <w:rFonts w:ascii="仿宋_GB2312" w:hAnsi="宋体" w:eastAsia="仿宋_GB2312"/>
          <w:sz w:val="22"/>
        </w:rPr>
      </w:pPr>
      <w:r>
        <w:rPr>
          <w:rFonts w:hint="eastAsia" w:ascii="仿宋_GB2312" w:hAnsi="宋体" w:eastAsia="仿宋_GB2312"/>
          <w:sz w:val="22"/>
        </w:rPr>
        <w:t>注：本表反映部门本年度“三公”经费支出预决算情况。其中：预算数为“三公”经费年初预算数，决算数包括当年一般公共预算财政拨款</w:t>
      </w:r>
    </w:p>
    <w:p>
      <w:pPr>
        <w:spacing w:line="360" w:lineRule="exact"/>
        <w:ind w:firstLine="540" w:firstLineChars="250"/>
        <w:rPr>
          <w:rFonts w:ascii="仿宋_GB2312" w:hAnsi="宋体" w:eastAsia="仿宋_GB2312"/>
          <w:sz w:val="22"/>
        </w:rPr>
      </w:pPr>
      <w:r>
        <w:rPr>
          <w:rFonts w:hint="eastAsia" w:ascii="仿宋_GB2312" w:hAnsi="宋体" w:eastAsia="仿宋_GB2312"/>
          <w:sz w:val="22"/>
        </w:rPr>
        <w:t>和以前年度结转资金安排的实际支出。</w:t>
      </w:r>
    </w:p>
    <w:p>
      <w:pPr>
        <w:ind w:firstLine="108" w:firstLineChars="50"/>
        <w:rPr>
          <w:rFonts w:ascii="仿宋_GB2312" w:hAnsi="宋体" w:eastAsia="仿宋_GB2312"/>
          <w:sz w:val="22"/>
        </w:rPr>
      </w:pPr>
    </w:p>
    <w:p>
      <w:pPr>
        <w:ind w:firstLine="108" w:firstLineChars="50"/>
        <w:rPr>
          <w:rFonts w:ascii="仿宋_GB2312" w:hAnsi="宋体" w:eastAsia="仿宋_GB2312"/>
          <w:sz w:val="22"/>
        </w:rPr>
      </w:pPr>
    </w:p>
    <w:p>
      <w:pPr>
        <w:jc w:val="center"/>
        <w:rPr>
          <w:rFonts w:ascii="方正小标宋简体" w:eastAsia="方正小标宋简体"/>
          <w:sz w:val="44"/>
          <w:szCs w:val="44"/>
        </w:rPr>
      </w:pPr>
      <w:r>
        <w:rPr>
          <w:rFonts w:hint="eastAsia" w:ascii="方正小标宋简体" w:eastAsia="方正小标宋简体"/>
          <w:sz w:val="44"/>
          <w:szCs w:val="44"/>
        </w:rPr>
        <w:t>政府性基金预算财政拨款收入支出决算表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公开08表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 xml:space="preserve">部门：                                                                              </w:t>
      </w:r>
      <w:r>
        <w:rPr>
          <w:rFonts w:ascii="楷体_GB2312" w:eastAsia="楷体_GB2312"/>
          <w:sz w:val="28"/>
          <w:szCs w:val="28"/>
        </w:rPr>
        <w:t xml:space="preserve"> </w:t>
      </w:r>
      <w:r>
        <w:rPr>
          <w:rFonts w:hint="eastAsia" w:ascii="楷体_GB2312" w:eastAsia="楷体_GB2312"/>
          <w:sz w:val="28"/>
          <w:szCs w:val="28"/>
        </w:rPr>
        <w:t xml:space="preserve"> 单位：万元</w:t>
      </w:r>
    </w:p>
    <w:tbl>
      <w:tblPr>
        <w:tblStyle w:val="13"/>
        <w:tblpPr w:leftFromText="180" w:rightFromText="180" w:vertAnchor="text" w:tblpXSpec="center" w:tblpY="1"/>
        <w:tblOverlap w:val="never"/>
        <w:tblW w:w="13210" w:type="dxa"/>
        <w:tblInd w:w="0" w:type="dxa"/>
        <w:tblLayout w:type="fixed"/>
        <w:tblCellMar>
          <w:top w:w="0" w:type="dxa"/>
          <w:left w:w="108" w:type="dxa"/>
          <w:bottom w:w="0" w:type="dxa"/>
          <w:right w:w="108" w:type="dxa"/>
        </w:tblCellMar>
      </w:tblPr>
      <w:tblGrid>
        <w:gridCol w:w="1372"/>
        <w:gridCol w:w="56"/>
        <w:gridCol w:w="1429"/>
        <w:gridCol w:w="1731"/>
        <w:gridCol w:w="1707"/>
        <w:gridCol w:w="1708"/>
        <w:gridCol w:w="1708"/>
        <w:gridCol w:w="1708"/>
        <w:gridCol w:w="1791"/>
      </w:tblGrid>
      <w:tr>
        <w:tblPrEx>
          <w:tblCellMar>
            <w:top w:w="0" w:type="dxa"/>
            <w:left w:w="108" w:type="dxa"/>
            <w:bottom w:w="0" w:type="dxa"/>
            <w:right w:w="108" w:type="dxa"/>
          </w:tblCellMar>
        </w:tblPrEx>
        <w:trPr>
          <w:trHeight w:val="453"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31"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70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5124"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1791"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28"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31"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小计</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基本支出</w:t>
            </w:r>
          </w:p>
        </w:tc>
        <w:tc>
          <w:tcPr>
            <w:tcW w:w="170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项目支出</w:t>
            </w:r>
          </w:p>
        </w:tc>
        <w:tc>
          <w:tcPr>
            <w:tcW w:w="1791"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57"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3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72"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85"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1"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70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0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708"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91"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keepNext w:val="0"/>
        <w:keepLines w:val="0"/>
        <w:pageBreakBefore w:val="0"/>
        <w:widowControl w:val="0"/>
        <w:kinsoku/>
        <w:wordWrap/>
        <w:overflowPunct/>
        <w:topLinePunct w:val="0"/>
        <w:autoSpaceDE/>
        <w:autoSpaceDN/>
        <w:bidi w:val="0"/>
        <w:adjustRightInd/>
        <w:snapToGrid/>
        <w:spacing w:line="400" w:lineRule="exact"/>
        <w:ind w:firstLine="108" w:firstLineChars="50"/>
        <w:textAlignment w:val="auto"/>
        <w:rPr>
          <w:rFonts w:hint="eastAsia" w:ascii="仿宋_GB2312" w:hAnsi="宋体" w:eastAsia="仿宋_GB2312"/>
          <w:sz w:val="22"/>
        </w:rPr>
      </w:pPr>
      <w:r>
        <w:rPr>
          <w:rFonts w:hint="eastAsia" w:ascii="仿宋_GB2312" w:hAnsi="宋体" w:eastAsia="仿宋_GB2312"/>
          <w:sz w:val="22"/>
        </w:rPr>
        <w:t>注：本表反映部门本年度政府性基金预算财政拨款收入、支出及结转和结余情况。</w:t>
      </w:r>
    </w:p>
    <w:p>
      <w:pPr>
        <w:keepNext w:val="0"/>
        <w:keepLines w:val="0"/>
        <w:pageBreakBefore w:val="0"/>
        <w:widowControl w:val="0"/>
        <w:kinsoku/>
        <w:wordWrap/>
        <w:overflowPunct/>
        <w:topLinePunct w:val="0"/>
        <w:autoSpaceDE/>
        <w:autoSpaceDN/>
        <w:bidi w:val="0"/>
        <w:adjustRightInd/>
        <w:snapToGrid/>
        <w:spacing w:line="400" w:lineRule="exact"/>
        <w:ind w:firstLine="108" w:firstLineChars="50"/>
        <w:textAlignment w:val="auto"/>
        <w:rPr>
          <w:rFonts w:hint="eastAsia" w:ascii="仿宋_GB2312" w:hAnsi="宋体" w:eastAsia="仿宋_GB2312"/>
          <w:sz w:val="22"/>
        </w:rPr>
      </w:pPr>
      <w:r>
        <w:rPr>
          <w:rFonts w:hint="eastAsia" w:ascii="仿宋_GB2312" w:hAnsi="宋体" w:eastAsia="仿宋_GB2312"/>
          <w:sz w:val="22"/>
          <w:lang w:val="en-US" w:eastAsia="zh-CN"/>
        </w:rPr>
        <w:t>说明：本部门没有政府性基金收入，也没有使用政府性基金安排的支出，故本表无数据。</w:t>
      </w:r>
    </w:p>
    <w:p>
      <w:pPr>
        <w:rPr>
          <w:rFonts w:ascii="仿宋_GB2312" w:hAnsi="宋体" w:eastAsia="仿宋_GB2312"/>
          <w:sz w:val="22"/>
        </w:rPr>
      </w:pPr>
    </w:p>
    <w:p>
      <w:pPr>
        <w:rPr>
          <w:rFonts w:ascii="仿宋_GB2312" w:hAnsi="宋体" w:eastAsia="仿宋_GB2312"/>
          <w:sz w:val="22"/>
        </w:rPr>
      </w:pPr>
    </w:p>
    <w:tbl>
      <w:tblPr>
        <w:tblStyle w:val="13"/>
        <w:tblW w:w="13202" w:type="dxa"/>
        <w:tblInd w:w="89" w:type="dxa"/>
        <w:tblLayout w:type="fixed"/>
        <w:tblCellMar>
          <w:top w:w="0" w:type="dxa"/>
          <w:left w:w="108" w:type="dxa"/>
          <w:bottom w:w="0" w:type="dxa"/>
          <w:right w:w="108" w:type="dxa"/>
        </w:tblCellMar>
      </w:tblPr>
      <w:tblGrid>
        <w:gridCol w:w="13202"/>
      </w:tblGrid>
      <w:tr>
        <w:tblPrEx>
          <w:tblCellMar>
            <w:top w:w="0" w:type="dxa"/>
            <w:left w:w="108" w:type="dxa"/>
            <w:bottom w:w="0" w:type="dxa"/>
            <w:right w:w="108" w:type="dxa"/>
          </w:tblCellMar>
        </w:tblPrEx>
        <w:trPr>
          <w:trHeight w:val="450" w:hRule="atLeast"/>
        </w:trPr>
        <w:tc>
          <w:tcPr>
            <w:tcW w:w="13202" w:type="dxa"/>
            <w:tcBorders>
              <w:top w:val="nil"/>
              <w:left w:val="nil"/>
              <w:bottom w:val="nil"/>
              <w:right w:val="nil"/>
            </w:tcBorders>
            <w:shd w:val="clear" w:color="000000" w:fill="FFFFFF"/>
            <w:vAlign w:val="center"/>
          </w:tcPr>
          <w:p>
            <w:pPr>
              <w:jc w:val="center"/>
              <w:rPr>
                <w:rFonts w:ascii="方正小标宋简体" w:eastAsia="方正小标宋简体"/>
                <w:sz w:val="44"/>
                <w:szCs w:val="44"/>
              </w:rPr>
            </w:pPr>
            <w:r>
              <w:rPr>
                <w:rFonts w:hint="eastAsia" w:ascii="方正小标宋简体" w:eastAsia="方正小标宋简体"/>
                <w:sz w:val="44"/>
                <w:szCs w:val="44"/>
              </w:rPr>
              <w:t>国有资本经营预算财政拨款收入支出决算表</w:t>
            </w:r>
          </w:p>
          <w:p>
            <w:pPr>
              <w:spacing w:line="400" w:lineRule="exact"/>
              <w:jc w:val="right"/>
              <w:rPr>
                <w:rFonts w:ascii="楷体_GB2312" w:eastAsia="楷体_GB2312"/>
                <w:sz w:val="28"/>
                <w:szCs w:val="28"/>
              </w:rPr>
            </w:pPr>
            <w:r>
              <w:rPr>
                <w:rFonts w:hint="eastAsia" w:ascii="楷体_GB2312" w:eastAsia="楷体_GB2312"/>
                <w:sz w:val="28"/>
                <w:szCs w:val="28"/>
              </w:rPr>
              <w:t>公开09表</w:t>
            </w:r>
          </w:p>
          <w:p>
            <w:pPr>
              <w:spacing w:line="400" w:lineRule="exact"/>
              <w:ind w:firstLine="138" w:firstLineChars="50"/>
              <w:jc w:val="right"/>
              <w:rPr>
                <w:rFonts w:ascii="楷体_GB2312" w:eastAsia="楷体_GB2312"/>
                <w:sz w:val="28"/>
                <w:szCs w:val="28"/>
              </w:rPr>
            </w:pPr>
            <w:r>
              <w:rPr>
                <w:rFonts w:hint="eastAsia" w:ascii="楷体_GB2312" w:eastAsia="楷体_GB2312"/>
                <w:sz w:val="28"/>
                <w:szCs w:val="28"/>
              </w:rPr>
              <w:t>部门：                                                                             单位：万元</w:t>
            </w:r>
          </w:p>
          <w:tbl>
            <w:tblPr>
              <w:tblStyle w:val="13"/>
              <w:tblpPr w:leftFromText="180" w:rightFromText="180" w:vertAnchor="text" w:tblpXSpec="center" w:tblpY="1"/>
              <w:tblOverlap w:val="never"/>
              <w:tblW w:w="12976" w:type="dxa"/>
              <w:tblInd w:w="0" w:type="dxa"/>
              <w:tblLayout w:type="fixed"/>
              <w:tblCellMar>
                <w:top w:w="0" w:type="dxa"/>
                <w:left w:w="108" w:type="dxa"/>
                <w:bottom w:w="0" w:type="dxa"/>
                <w:right w:w="108" w:type="dxa"/>
              </w:tblCellMar>
            </w:tblPr>
            <w:tblGrid>
              <w:gridCol w:w="1350"/>
              <w:gridCol w:w="56"/>
              <w:gridCol w:w="1405"/>
              <w:gridCol w:w="1700"/>
              <w:gridCol w:w="1676"/>
              <w:gridCol w:w="1677"/>
              <w:gridCol w:w="1677"/>
              <w:gridCol w:w="1677"/>
              <w:gridCol w:w="1758"/>
            </w:tblGrid>
            <w:tr>
              <w:tblPrEx>
                <w:tblCellMar>
                  <w:top w:w="0" w:type="dxa"/>
                  <w:left w:w="108" w:type="dxa"/>
                  <w:bottom w:w="0" w:type="dxa"/>
                  <w:right w:w="108" w:type="dxa"/>
                </w:tblCellMar>
              </w:tblPrEx>
              <w:trPr>
                <w:trHeight w:val="453"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项       目</w:t>
                  </w:r>
                </w:p>
              </w:tc>
              <w:tc>
                <w:tcPr>
                  <w:tcW w:w="170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年初结转和结余</w:t>
                  </w:r>
                </w:p>
              </w:tc>
              <w:tc>
                <w:tcPr>
                  <w:tcW w:w="1676"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本年收入</w:t>
                  </w:r>
                </w:p>
              </w:tc>
              <w:tc>
                <w:tcPr>
                  <w:tcW w:w="1677" w:type="dxa"/>
                  <w:vMerge w:val="restart"/>
                  <w:tcBorders>
                    <w:top w:val="single" w:color="auto" w:sz="4" w:space="0"/>
                    <w:left w:val="nil"/>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本年支出</w:t>
                  </w:r>
                </w:p>
              </w:tc>
              <w:tc>
                <w:tcPr>
                  <w:tcW w:w="5112"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年末结转和结余</w:t>
                  </w:r>
                </w:p>
              </w:tc>
            </w:tr>
            <w:tr>
              <w:tblPrEx>
                <w:tblCellMar>
                  <w:top w:w="0" w:type="dxa"/>
                  <w:left w:w="108" w:type="dxa"/>
                  <w:bottom w:w="0" w:type="dxa"/>
                  <w:right w:w="108" w:type="dxa"/>
                </w:tblCellMar>
              </w:tblPrEx>
              <w:trPr>
                <w:trHeight w:val="599" w:hRule="atLeast"/>
              </w:trPr>
              <w:tc>
                <w:tcPr>
                  <w:tcW w:w="140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功能分类  科目编码</w:t>
                  </w:r>
                </w:p>
              </w:tc>
              <w:tc>
                <w:tcPr>
                  <w:tcW w:w="140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科目名称</w:t>
                  </w:r>
                </w:p>
              </w:tc>
              <w:tc>
                <w:tcPr>
                  <w:tcW w:w="170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vMerge w:val="continue"/>
                  <w:tcBorders>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合计</w:t>
                  </w:r>
                </w:p>
              </w:tc>
              <w:tc>
                <w:tcPr>
                  <w:tcW w:w="1677"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结转</w:t>
                  </w:r>
                </w:p>
              </w:tc>
              <w:tc>
                <w:tcPr>
                  <w:tcW w:w="1758" w:type="dxa"/>
                  <w:tcBorders>
                    <w:top w:val="single" w:color="auto" w:sz="4" w:space="0"/>
                    <w:left w:val="nil"/>
                    <w:bottom w:val="single" w:color="auto" w:sz="4" w:space="0"/>
                    <w:right w:val="single" w:color="auto" w:sz="4" w:space="0"/>
                  </w:tcBorders>
                  <w:vAlign w:val="center"/>
                </w:tcPr>
                <w:p>
                  <w:pPr>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结余</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栏  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6</w:t>
                  </w:r>
                </w:p>
              </w:tc>
            </w:tr>
            <w:tr>
              <w:tblPrEx>
                <w:tblCellMar>
                  <w:top w:w="0" w:type="dxa"/>
                  <w:left w:w="108" w:type="dxa"/>
                  <w:bottom w:w="0" w:type="dxa"/>
                  <w:right w:w="108" w:type="dxa"/>
                </w:tblCellMar>
              </w:tblPrEx>
              <w:trPr>
                <w:trHeight w:val="454" w:hRule="atLeast"/>
              </w:trPr>
              <w:tc>
                <w:tcPr>
                  <w:tcW w:w="2811"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r>
                    <w:rPr>
                      <w:rFonts w:hint="eastAsia" w:ascii="仿宋_GB2312" w:hAnsi="宋体" w:eastAsia="仿宋_GB2312" w:cs="宋体"/>
                      <w:kern w:val="0"/>
                      <w:sz w:val="22"/>
                    </w:rPr>
                    <w:t>合  计</w:t>
                  </w:r>
                </w:p>
              </w:tc>
              <w:tc>
                <w:tcPr>
                  <w:tcW w:w="170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kern w:val="0"/>
                      <w:sz w:val="22"/>
                    </w:rPr>
                  </w:pP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r>
              <w:tblPrEx>
                <w:tblCellMar>
                  <w:top w:w="0" w:type="dxa"/>
                  <w:left w:w="108" w:type="dxa"/>
                  <w:bottom w:w="0" w:type="dxa"/>
                  <w:right w:w="108" w:type="dxa"/>
                </w:tblCellMar>
              </w:tblPrEx>
              <w:trPr>
                <w:trHeight w:val="454" w:hRule="atLeast"/>
              </w:trPr>
              <w:tc>
                <w:tcPr>
                  <w:tcW w:w="1350"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461" w:type="dxa"/>
                  <w:gridSpan w:val="2"/>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00"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kern w:val="0"/>
                      <w:sz w:val="22"/>
                    </w:rPr>
                  </w:pPr>
                </w:p>
              </w:tc>
              <w:tc>
                <w:tcPr>
                  <w:tcW w:w="1676"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677"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c>
                <w:tcPr>
                  <w:tcW w:w="1677" w:type="dxa"/>
                  <w:tcBorders>
                    <w:top w:val="nil"/>
                    <w:left w:val="nil"/>
                    <w:bottom w:val="single" w:color="auto" w:sz="4" w:space="0"/>
                    <w:right w:val="single" w:color="auto" w:sz="4" w:space="0"/>
                  </w:tcBorders>
                  <w:vAlign w:val="center"/>
                </w:tcPr>
                <w:p>
                  <w:pPr>
                    <w:widowControl/>
                    <w:spacing w:line="300" w:lineRule="exact"/>
                    <w:jc w:val="right"/>
                    <w:rPr>
                      <w:rFonts w:ascii="仿宋_GB2312" w:hAnsi="宋体" w:eastAsia="仿宋_GB2312" w:cs="宋体"/>
                      <w:kern w:val="0"/>
                      <w:sz w:val="22"/>
                    </w:rPr>
                  </w:pPr>
                </w:p>
              </w:tc>
              <w:tc>
                <w:tcPr>
                  <w:tcW w:w="1758" w:type="dxa"/>
                  <w:tcBorders>
                    <w:top w:val="nil"/>
                    <w:left w:val="nil"/>
                    <w:bottom w:val="single" w:color="auto" w:sz="4" w:space="0"/>
                    <w:right w:val="single" w:color="auto" w:sz="4" w:space="0"/>
                  </w:tcBorders>
                  <w:vAlign w:val="center"/>
                </w:tcPr>
                <w:p>
                  <w:pPr>
                    <w:spacing w:line="300" w:lineRule="exact"/>
                    <w:jc w:val="right"/>
                    <w:rPr>
                      <w:rFonts w:ascii="仿宋_GB2312" w:hAnsi="宋体" w:eastAsia="仿宋_GB2312" w:cs="宋体"/>
                      <w:kern w:val="0"/>
                      <w:sz w:val="22"/>
                    </w:rPr>
                  </w:pPr>
                  <w:r>
                    <w:rPr>
                      <w:rFonts w:hint="eastAsia" w:ascii="仿宋_GB2312" w:hAnsi="宋体" w:eastAsia="仿宋_GB2312" w:cs="宋体"/>
                      <w:kern w:val="0"/>
                      <w:sz w:val="22"/>
                    </w:rPr>
                    <w:t>　</w:t>
                  </w:r>
                </w:p>
              </w:tc>
            </w:tr>
          </w:tbl>
          <w:p>
            <w:pPr>
              <w:ind w:firstLine="108" w:firstLineChars="50"/>
              <w:rPr>
                <w:rFonts w:hint="eastAsia" w:ascii="仿宋_GB2312" w:hAnsi="宋体" w:eastAsia="仿宋_GB2312"/>
                <w:sz w:val="22"/>
              </w:rPr>
            </w:pPr>
            <w:r>
              <w:rPr>
                <w:rFonts w:hint="eastAsia" w:ascii="仿宋_GB2312" w:hAnsi="宋体" w:eastAsia="仿宋_GB2312"/>
                <w:sz w:val="22"/>
              </w:rPr>
              <w:t>注：本表反映部门本年度国有资本经营预算财政拨款收入、支出及结转和结余情况。</w:t>
            </w:r>
          </w:p>
          <w:p>
            <w:pPr>
              <w:ind w:firstLine="108" w:firstLineChars="50"/>
              <w:rPr>
                <w:rFonts w:hint="eastAsia" w:ascii="仿宋_GB2312" w:hAnsi="宋体" w:eastAsia="仿宋_GB2312"/>
                <w:sz w:val="22"/>
              </w:rPr>
            </w:pPr>
            <w:r>
              <w:rPr>
                <w:rFonts w:hint="eastAsia" w:ascii="仿宋_GB2312" w:hAnsi="宋体" w:eastAsia="仿宋_GB2312"/>
                <w:sz w:val="22"/>
                <w:lang w:val="en-US" w:eastAsia="zh-CN"/>
              </w:rPr>
              <w:t>说明：本部门没有政府性基金收入，也没有使用政府性基金安排的支出，故本表无数据。</w:t>
            </w:r>
          </w:p>
          <w:p>
            <w:pPr>
              <w:rPr>
                <w:rFonts w:ascii="华文中宋" w:hAnsi="华文中宋" w:eastAsia="华文中宋" w:cs="宋体"/>
                <w:kern w:val="0"/>
                <w:sz w:val="32"/>
                <w:szCs w:val="32"/>
              </w:rPr>
            </w:pPr>
          </w:p>
        </w:tc>
      </w:tr>
    </w:tbl>
    <w:p>
      <w:pPr>
        <w:rPr>
          <w:rFonts w:ascii="仿宋_GB2312" w:hAnsi="宋体" w:eastAsia="仿宋_GB2312"/>
          <w:sz w:val="22"/>
        </w:rPr>
        <w:sectPr>
          <w:pgSz w:w="16838" w:h="11906" w:orient="landscape"/>
          <w:pgMar w:top="1531" w:right="1701" w:bottom="1531" w:left="1701" w:header="0" w:footer="1418" w:gutter="0"/>
          <w:cols w:space="720" w:num="1"/>
          <w:docGrid w:type="linesAndChars" w:linePitch="610" w:charSpace="-849"/>
        </w:sectPr>
      </w:pPr>
    </w:p>
    <w:p>
      <w:pPr>
        <w:jc w:val="both"/>
        <w:rPr>
          <w:rFonts w:ascii="方正小标宋简体" w:eastAsia="方正小标宋简体"/>
          <w:sz w:val="42"/>
        </w:rPr>
      </w:pPr>
    </w:p>
    <w:p>
      <w:pPr>
        <w:ind w:firstLine="536" w:firstLineChars="100"/>
        <w:rPr>
          <w:rFonts w:ascii="方正小标宋简体" w:eastAsia="方正小标宋简体"/>
          <w:spacing w:val="60"/>
          <w:sz w:val="42"/>
        </w:rPr>
      </w:pPr>
      <w:r>
        <w:rPr>
          <w:rFonts w:hint="eastAsia" w:ascii="方正小标宋简体" w:eastAsia="方正小标宋简体"/>
          <w:spacing w:val="60"/>
          <w:sz w:val="42"/>
        </w:rPr>
        <w:t>第三部分</w:t>
      </w:r>
    </w:p>
    <w:p>
      <w:pPr>
        <w:jc w:val="center"/>
        <w:rPr>
          <w:rFonts w:ascii="方正小标宋简体" w:eastAsia="方正小标宋简体"/>
          <w:spacing w:val="60"/>
          <w:sz w:val="42"/>
        </w:rPr>
      </w:pPr>
    </w:p>
    <w:p>
      <w:pPr>
        <w:spacing w:line="800" w:lineRule="exact"/>
        <w:jc w:val="center"/>
        <w:rPr>
          <w:rFonts w:ascii="方正小标宋简体" w:eastAsia="方正小标宋简体"/>
          <w:spacing w:val="60"/>
          <w:sz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rPr>
        <w:t>2020年度</w:t>
      </w:r>
      <w:r>
        <w:rPr>
          <w:rFonts w:hint="eastAsia" w:ascii="方正小标宋简体" w:eastAsia="方正小标宋简体"/>
          <w:spacing w:val="60"/>
          <w:sz w:val="48"/>
          <w:lang w:eastAsia="zh-CN"/>
        </w:rPr>
        <w:t>单位</w:t>
      </w:r>
      <w:r>
        <w:rPr>
          <w:rFonts w:hint="eastAsia" w:ascii="方正小标宋简体" w:eastAsia="方正小标宋简体"/>
          <w:spacing w:val="60"/>
          <w:sz w:val="48"/>
        </w:rPr>
        <w:t>决算情况说明</w:t>
      </w:r>
    </w:p>
    <w:p>
      <w:pPr>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ind w:firstLine="640" w:firstLineChars="200"/>
        <w:rPr>
          <w:rFonts w:hint="eastAsia" w:ascii="仿宋_GB2312" w:hAnsi="宋体" w:eastAsia="仿宋_GB2312" w:cs="仿宋_GB2312"/>
          <w:i w:val="0"/>
          <w:caps w:val="0"/>
          <w:color w:val="auto"/>
          <w:spacing w:val="0"/>
          <w:sz w:val="31"/>
          <w:szCs w:val="31"/>
          <w:u w:val="none"/>
          <w:shd w:val="clear" w:fill="FFFFFF"/>
          <w:lang w:eastAsia="zh-CN"/>
        </w:rPr>
      </w:pPr>
      <w:r>
        <w:rPr>
          <w:rFonts w:hint="eastAsia" w:ascii="仿宋_GB2312" w:eastAsia="仿宋_GB2312"/>
          <w:sz w:val="32"/>
          <w:szCs w:val="32"/>
        </w:rPr>
        <w:t xml:space="preserve">2020年度收、支总计 </w:t>
      </w:r>
      <w:r>
        <w:rPr>
          <w:rFonts w:hint="eastAsia" w:ascii="仿宋_GB2312" w:eastAsia="仿宋_GB2312"/>
          <w:sz w:val="32"/>
          <w:szCs w:val="32"/>
          <w:lang w:val="en-US" w:eastAsia="zh-CN"/>
        </w:rPr>
        <w:t>442.16</w:t>
      </w:r>
      <w:r>
        <w:rPr>
          <w:rFonts w:hint="eastAsia" w:ascii="仿宋_GB2312" w:eastAsia="仿宋_GB2312"/>
          <w:sz w:val="32"/>
          <w:szCs w:val="32"/>
        </w:rPr>
        <w:t>万元。与2019年相比，收、支</w:t>
      </w:r>
      <w:r>
        <w:rPr>
          <w:rFonts w:hint="eastAsia" w:ascii="仿宋_GB2312" w:eastAsia="仿宋_GB2312"/>
          <w:sz w:val="32"/>
          <w:szCs w:val="32"/>
          <w:lang w:eastAsia="zh-CN"/>
        </w:rPr>
        <w:t>各</w:t>
      </w:r>
      <w:r>
        <w:rPr>
          <w:rFonts w:hint="eastAsia" w:ascii="仿宋_GB2312" w:eastAsia="仿宋_GB2312"/>
          <w:sz w:val="32"/>
          <w:szCs w:val="32"/>
        </w:rPr>
        <w:t>减少</w:t>
      </w:r>
      <w:r>
        <w:rPr>
          <w:rFonts w:hint="eastAsia" w:ascii="仿宋_GB2312" w:eastAsia="仿宋_GB2312"/>
          <w:sz w:val="32"/>
          <w:szCs w:val="32"/>
          <w:lang w:val="en-US" w:eastAsia="zh-CN"/>
        </w:rPr>
        <w:t>108.99</w:t>
      </w:r>
      <w:r>
        <w:rPr>
          <w:rFonts w:hint="eastAsia" w:ascii="仿宋_GB2312" w:eastAsia="仿宋_GB2312"/>
          <w:sz w:val="32"/>
          <w:szCs w:val="32"/>
        </w:rPr>
        <w:t>万元，下降</w:t>
      </w:r>
      <w:r>
        <w:rPr>
          <w:rFonts w:hint="eastAsia" w:ascii="仿宋_GB2312" w:eastAsia="仿宋_GB2312"/>
          <w:sz w:val="32"/>
          <w:szCs w:val="32"/>
          <w:lang w:val="en-US" w:eastAsia="zh-CN"/>
        </w:rPr>
        <w:t>19.77</w:t>
      </w:r>
      <w:r>
        <w:rPr>
          <w:rFonts w:hint="eastAsia" w:ascii="仿宋_GB2312" w:eastAsia="仿宋_GB2312"/>
          <w:sz w:val="32"/>
          <w:szCs w:val="32"/>
        </w:rPr>
        <w:t>%。主要是</w:t>
      </w:r>
      <w:r>
        <w:rPr>
          <w:rFonts w:hint="eastAsia" w:ascii="仿宋_GB2312" w:hAnsi="宋体" w:eastAsia="仿宋_GB2312" w:cs="仿宋_GB2312"/>
          <w:i w:val="0"/>
          <w:caps w:val="0"/>
          <w:color w:val="auto"/>
          <w:spacing w:val="0"/>
          <w:sz w:val="31"/>
          <w:szCs w:val="31"/>
          <w:u w:val="none"/>
          <w:shd w:val="clear" w:fill="FFFFFF"/>
          <w:lang w:eastAsia="zh-CN"/>
        </w:rPr>
        <w:t>主要是压减一般性支出及疫情影响外事接待、出国（境）减少。</w:t>
      </w:r>
    </w:p>
    <w:p>
      <w:pPr>
        <w:ind w:firstLine="620" w:firstLineChars="200"/>
        <w:jc w:val="center"/>
        <w:rPr>
          <w:rFonts w:hint="eastAsia" w:ascii="仿宋_GB2312" w:hAnsi="宋体" w:eastAsia="仿宋_GB2312" w:cs="仿宋_GB2312"/>
          <w:i w:val="0"/>
          <w:caps w:val="0"/>
          <w:color w:val="auto"/>
          <w:spacing w:val="0"/>
          <w:sz w:val="31"/>
          <w:szCs w:val="31"/>
          <w:u w:val="none"/>
          <w:shd w:val="clear" w:fill="FFFFFF"/>
          <w:lang w:val="en-US" w:eastAsia="zh-CN"/>
        </w:rPr>
      </w:pPr>
      <w:r>
        <w:rPr>
          <w:rFonts w:hint="eastAsia" w:ascii="仿宋_GB2312" w:hAnsi="宋体" w:eastAsia="仿宋_GB2312" w:cs="仿宋_GB2312"/>
          <w:i w:val="0"/>
          <w:caps w:val="0"/>
          <w:color w:val="auto"/>
          <w:spacing w:val="0"/>
          <w:sz w:val="31"/>
          <w:szCs w:val="31"/>
          <w:u w:val="none"/>
          <w:shd w:val="clear" w:fill="FFFFFF"/>
          <w:lang w:val="en-US" w:eastAsia="zh-CN"/>
        </w:rPr>
        <w:t>图1：收支决算总计变动情况</w:t>
      </w:r>
    </w:p>
    <w:p>
      <w:pPr>
        <w:ind w:firstLine="620" w:firstLineChars="200"/>
        <w:jc w:val="center"/>
        <w:rPr>
          <w:rFonts w:hint="eastAsia" w:ascii="仿宋_GB2312" w:hAnsi="宋体" w:eastAsia="仿宋_GB2312" w:cs="仿宋_GB2312"/>
          <w:i w:val="0"/>
          <w:caps w:val="0"/>
          <w:color w:val="auto"/>
          <w:spacing w:val="0"/>
          <w:sz w:val="31"/>
          <w:szCs w:val="31"/>
          <w:u w:val="none"/>
          <w:shd w:val="clear" w:fill="FFFFFF"/>
          <w:lang w:eastAsia="zh-CN"/>
        </w:rPr>
      </w:pPr>
      <w:r>
        <w:rPr>
          <w:rFonts w:hint="eastAsia" w:ascii="仿宋_GB2312" w:hAnsi="宋体" w:eastAsia="仿宋_GB2312" w:cs="仿宋_GB2312"/>
          <w:i w:val="0"/>
          <w:caps w:val="0"/>
          <w:color w:val="auto"/>
          <w:spacing w:val="0"/>
          <w:sz w:val="31"/>
          <w:szCs w:val="31"/>
          <w:u w:val="none"/>
          <w:shd w:val="clear" w:fill="FFFFFF"/>
          <w:lang w:val="en-US" w:eastAsia="zh-CN"/>
        </w:rPr>
        <w:t>（单位：万元）</w:t>
      </w:r>
    </w:p>
    <w:p>
      <w:pPr>
        <w:ind w:firstLine="420" w:firstLineChars="200"/>
        <w:jc w:val="center"/>
        <w:rPr>
          <w:rFonts w:hint="eastAsia" w:ascii="仿宋_GB2312" w:eastAsia="仿宋_GB2312"/>
          <w:sz w:val="32"/>
          <w:szCs w:val="32"/>
        </w:rPr>
      </w:pPr>
      <w:r>
        <w:drawing>
          <wp:inline distT="0" distB="0" distL="114300" distR="114300">
            <wp:extent cx="5052060" cy="2599690"/>
            <wp:effectExtent l="4445" t="4445" r="10795" b="571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二、收入决算情况说明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435.37</w:t>
      </w:r>
      <w:r>
        <w:rPr>
          <w:rFonts w:hint="eastAsia" w:ascii="仿宋_GB2312" w:eastAsia="仿宋_GB2312"/>
          <w:sz w:val="32"/>
          <w:szCs w:val="32"/>
        </w:rPr>
        <w:t>万元，其中：财政拨款收入</w:t>
      </w:r>
      <w:r>
        <w:rPr>
          <w:rFonts w:hint="eastAsia" w:ascii="仿宋_GB2312" w:eastAsia="仿宋_GB2312"/>
          <w:sz w:val="32"/>
          <w:szCs w:val="32"/>
          <w:lang w:val="en-US" w:eastAsia="zh-CN"/>
        </w:rPr>
        <w:t>435.37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事业收入</w:t>
      </w:r>
      <w:r>
        <w:rPr>
          <w:rFonts w:hint="eastAsia" w:ascii="仿宋_GB2312" w:eastAsia="仿宋_GB2312"/>
          <w:sz w:val="32"/>
          <w:szCs w:val="32"/>
          <w:lang w:val="en-US" w:eastAsia="zh-CN"/>
        </w:rPr>
        <w:t>0万元，占0%；经营</w:t>
      </w:r>
      <w:r>
        <w:rPr>
          <w:rFonts w:hint="eastAsia" w:ascii="仿宋_GB2312" w:eastAsia="仿宋_GB2312"/>
          <w:sz w:val="32"/>
          <w:szCs w:val="32"/>
          <w:lang w:eastAsia="zh-CN"/>
        </w:rPr>
        <w:t>收入</w:t>
      </w:r>
      <w:r>
        <w:rPr>
          <w:rFonts w:hint="eastAsia" w:ascii="仿宋_GB2312" w:eastAsia="仿宋_GB2312"/>
          <w:sz w:val="32"/>
          <w:szCs w:val="32"/>
          <w:lang w:val="en-US" w:eastAsia="zh-CN"/>
        </w:rPr>
        <w:t>0万元，占0%；附属单位上缴收入0万元，占0%；</w:t>
      </w:r>
      <w:r>
        <w:rPr>
          <w:rFonts w:hint="eastAsia" w:ascii="仿宋_GB2312" w:eastAsia="仿宋_GB2312"/>
          <w:sz w:val="32"/>
          <w:szCs w:val="32"/>
        </w:rPr>
        <w:t>其他收入</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图2：收入决算</w:t>
      </w:r>
    </w:p>
    <w:p>
      <w:pPr>
        <w:ind w:firstLine="420" w:firstLineChars="200"/>
        <w:jc w:val="center"/>
        <w:rPr>
          <w:rFonts w:hint="eastAsia" w:ascii="黑体" w:hAnsi="黑体" w:eastAsia="黑体"/>
          <w:sz w:val="32"/>
          <w:szCs w:val="32"/>
        </w:rPr>
      </w:pPr>
      <w:r>
        <w:drawing>
          <wp:inline distT="0" distB="0" distL="114300" distR="114300">
            <wp:extent cx="4375785" cy="2643505"/>
            <wp:effectExtent l="4445" t="4445" r="20320" b="1905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三、支出决算情况说明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441.06</w:t>
      </w:r>
      <w:r>
        <w:rPr>
          <w:rFonts w:hint="eastAsia" w:ascii="仿宋_GB2312" w:eastAsia="仿宋_GB2312"/>
          <w:sz w:val="32"/>
          <w:szCs w:val="32"/>
        </w:rPr>
        <w:t>万元，其中：基本支出</w:t>
      </w:r>
      <w:r>
        <w:rPr>
          <w:rFonts w:hint="eastAsia" w:ascii="仿宋_GB2312" w:eastAsia="仿宋_GB2312"/>
          <w:sz w:val="32"/>
          <w:szCs w:val="32"/>
          <w:lang w:val="en-US" w:eastAsia="zh-CN"/>
        </w:rPr>
        <w:t>314.44</w:t>
      </w:r>
      <w:r>
        <w:rPr>
          <w:rFonts w:hint="eastAsia" w:ascii="仿宋_GB2312" w:eastAsia="仿宋_GB2312"/>
          <w:sz w:val="32"/>
          <w:szCs w:val="32"/>
        </w:rPr>
        <w:t>万元，占</w:t>
      </w:r>
      <w:r>
        <w:rPr>
          <w:rFonts w:hint="eastAsia" w:ascii="仿宋_GB2312" w:eastAsia="仿宋_GB2312"/>
          <w:sz w:val="32"/>
          <w:szCs w:val="32"/>
          <w:lang w:val="en-US" w:eastAsia="zh-CN"/>
        </w:rPr>
        <w:t>71.29</w:t>
      </w:r>
      <w:r>
        <w:rPr>
          <w:rFonts w:hint="eastAsia" w:ascii="仿宋_GB2312" w:eastAsia="仿宋_GB2312"/>
          <w:sz w:val="32"/>
          <w:szCs w:val="32"/>
        </w:rPr>
        <w:t>%；项目支出</w:t>
      </w:r>
      <w:r>
        <w:rPr>
          <w:rFonts w:hint="eastAsia" w:ascii="仿宋_GB2312" w:eastAsia="仿宋_GB2312"/>
          <w:sz w:val="32"/>
          <w:szCs w:val="32"/>
          <w:lang w:val="en-US" w:eastAsia="zh-CN"/>
        </w:rPr>
        <w:t>126.62</w:t>
      </w:r>
      <w:r>
        <w:rPr>
          <w:rFonts w:hint="eastAsia" w:ascii="仿宋_GB2312" w:eastAsia="仿宋_GB2312"/>
          <w:sz w:val="32"/>
          <w:szCs w:val="32"/>
        </w:rPr>
        <w:t>万元，占</w:t>
      </w:r>
      <w:r>
        <w:rPr>
          <w:rFonts w:hint="eastAsia" w:ascii="仿宋_GB2312" w:eastAsia="仿宋_GB2312"/>
          <w:sz w:val="32"/>
          <w:szCs w:val="32"/>
          <w:lang w:val="en-US" w:eastAsia="zh-CN"/>
        </w:rPr>
        <w:t>28.71</w:t>
      </w:r>
      <w:r>
        <w:rPr>
          <w:rFonts w:hint="eastAsia" w:ascii="仿宋_GB2312" w:eastAsia="仿宋_GB2312"/>
          <w:sz w:val="32"/>
          <w:szCs w:val="32"/>
        </w:rPr>
        <w:t>%；</w:t>
      </w:r>
      <w:r>
        <w:rPr>
          <w:rFonts w:hint="eastAsia" w:ascii="仿宋_GB2312" w:eastAsia="仿宋_GB2312"/>
          <w:sz w:val="32"/>
          <w:szCs w:val="32"/>
          <w:lang w:eastAsia="zh-CN"/>
        </w:rPr>
        <w:t>上缴上级支出</w:t>
      </w:r>
      <w:r>
        <w:rPr>
          <w:rFonts w:hint="eastAsia" w:ascii="仿宋_GB2312" w:eastAsia="仿宋_GB2312"/>
          <w:sz w:val="32"/>
          <w:szCs w:val="32"/>
          <w:lang w:val="en-US" w:eastAsia="zh-CN"/>
        </w:rPr>
        <w:t>0万元，占0%；经营</w:t>
      </w:r>
      <w:r>
        <w:rPr>
          <w:rFonts w:hint="eastAsia" w:ascii="仿宋_GB2312" w:eastAsia="仿宋_GB2312"/>
          <w:sz w:val="32"/>
          <w:szCs w:val="32"/>
          <w:lang w:eastAsia="zh-CN"/>
        </w:rPr>
        <w:t>支出</w:t>
      </w:r>
      <w:r>
        <w:rPr>
          <w:rFonts w:hint="eastAsia" w:ascii="仿宋_GB2312" w:eastAsia="仿宋_GB2312"/>
          <w:sz w:val="32"/>
          <w:szCs w:val="32"/>
          <w:lang w:val="en-US" w:eastAsia="zh-CN"/>
        </w:rPr>
        <w:t>0万元，占0%；</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图3：支出决算</w:t>
      </w:r>
    </w:p>
    <w:p>
      <w:pPr>
        <w:ind w:firstLine="420" w:firstLineChars="200"/>
        <w:jc w:val="center"/>
        <w:rPr>
          <w:rFonts w:ascii="仿宋_GB2312" w:eastAsia="仿宋_GB2312"/>
          <w:b/>
          <w:sz w:val="32"/>
          <w:szCs w:val="32"/>
        </w:rPr>
      </w:pPr>
      <w:r>
        <w:drawing>
          <wp:inline distT="0" distB="0" distL="114300" distR="114300">
            <wp:extent cx="4813935" cy="2682875"/>
            <wp:effectExtent l="4445" t="4445" r="20320" b="1778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ind w:firstLine="640" w:firstLineChars="200"/>
        <w:rPr>
          <w:rFonts w:ascii="仿宋_GB2312" w:eastAsia="仿宋_GB2312"/>
          <w:sz w:val="32"/>
          <w:szCs w:val="32"/>
        </w:rPr>
      </w:pPr>
      <w:r>
        <w:rPr>
          <w:rFonts w:hint="eastAsia" w:ascii="仿宋_GB2312" w:eastAsia="仿宋_GB2312"/>
          <w:sz w:val="32"/>
          <w:szCs w:val="32"/>
        </w:rPr>
        <w:t xml:space="preserve">2020年度财政拨款收、支总计 </w:t>
      </w:r>
      <w:r>
        <w:rPr>
          <w:rFonts w:hint="eastAsia" w:ascii="仿宋_GB2312" w:eastAsia="仿宋_GB2312"/>
          <w:sz w:val="32"/>
          <w:szCs w:val="32"/>
          <w:lang w:val="en-US" w:eastAsia="zh-CN"/>
        </w:rPr>
        <w:t>442.16</w:t>
      </w:r>
      <w:r>
        <w:rPr>
          <w:rFonts w:hint="eastAsia" w:ascii="仿宋_GB2312" w:eastAsia="仿宋_GB2312"/>
          <w:sz w:val="32"/>
          <w:szCs w:val="32"/>
        </w:rPr>
        <w:t>万元。与2019年相比，财政拨款收、支总计各减少</w:t>
      </w:r>
      <w:r>
        <w:rPr>
          <w:rFonts w:hint="eastAsia" w:ascii="仿宋_GB2312" w:eastAsia="仿宋_GB2312"/>
          <w:sz w:val="32"/>
          <w:szCs w:val="32"/>
          <w:lang w:val="en-US" w:eastAsia="zh-CN"/>
        </w:rPr>
        <w:t>108.99</w:t>
      </w:r>
      <w:r>
        <w:rPr>
          <w:rFonts w:hint="eastAsia" w:ascii="仿宋_GB2312" w:eastAsia="仿宋_GB2312"/>
          <w:sz w:val="32"/>
          <w:szCs w:val="32"/>
        </w:rPr>
        <w:t>万元</w:t>
      </w:r>
      <w:r>
        <w:rPr>
          <w:rFonts w:hint="eastAsia" w:ascii="仿宋_GB2312" w:eastAsia="仿宋_GB2312"/>
          <w:sz w:val="32"/>
          <w:szCs w:val="32"/>
          <w:lang w:val="en-US" w:eastAsia="zh-CN"/>
        </w:rPr>
        <w:t>,下降19.77</w:t>
      </w:r>
      <w:r>
        <w:rPr>
          <w:rFonts w:hint="eastAsia" w:ascii="仿宋_GB2312" w:eastAsia="仿宋_GB2312"/>
          <w:sz w:val="32"/>
          <w:szCs w:val="32"/>
        </w:rPr>
        <w:t>%。主要是</w:t>
      </w:r>
      <w:r>
        <w:rPr>
          <w:rFonts w:hint="eastAsia" w:ascii="仿宋_GB2312" w:hAnsi="宋体" w:eastAsia="仿宋_GB2312" w:cs="仿宋_GB2312"/>
          <w:i w:val="0"/>
          <w:caps w:val="0"/>
          <w:color w:val="auto"/>
          <w:spacing w:val="0"/>
          <w:sz w:val="31"/>
          <w:szCs w:val="31"/>
          <w:u w:val="none"/>
          <w:shd w:val="clear" w:fill="FFFFFF"/>
          <w:lang w:eastAsia="zh-CN"/>
        </w:rPr>
        <w:t>主要是压减一般性支出及疫情影响外事接待出国（境）减少。</w:t>
      </w:r>
    </w:p>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图4：</w:t>
      </w:r>
      <w:r>
        <w:rPr>
          <w:rFonts w:hint="eastAsia" w:ascii="仿宋_GB2312" w:eastAsia="仿宋_GB2312"/>
          <w:sz w:val="32"/>
          <w:szCs w:val="32"/>
          <w:lang w:eastAsia="zh-CN"/>
        </w:rPr>
        <w:t>财政拨款</w:t>
      </w:r>
      <w:r>
        <w:rPr>
          <w:rFonts w:hint="eastAsia" w:ascii="仿宋_GB2312" w:eastAsia="仿宋_GB2312"/>
          <w:sz w:val="32"/>
          <w:szCs w:val="32"/>
          <w:lang w:val="en-US" w:eastAsia="zh-CN"/>
        </w:rPr>
        <w:t>收、支决算总计变动情况</w:t>
      </w:r>
    </w:p>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（单位：万元）</w:t>
      </w:r>
    </w:p>
    <w:p>
      <w:pPr>
        <w:ind w:firstLine="420" w:firstLineChars="200"/>
        <w:jc w:val="center"/>
      </w:pPr>
      <w:r>
        <w:drawing>
          <wp:inline distT="0" distB="0" distL="114300" distR="114300">
            <wp:extent cx="4832985" cy="2533650"/>
            <wp:effectExtent l="4445" t="5080" r="2032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420" w:firstLineChars="200"/>
        <w:jc w:val="center"/>
      </w:pPr>
    </w:p>
    <w:p>
      <w:pPr>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ind w:firstLine="640" w:firstLineChars="200"/>
        <w:rPr>
          <w:rFonts w:ascii="楷体_GB2312" w:eastAsia="楷体_GB2312"/>
          <w:sz w:val="32"/>
          <w:szCs w:val="32"/>
        </w:rPr>
      </w:pPr>
      <w:r>
        <w:rPr>
          <w:rFonts w:hint="eastAsia" w:ascii="楷体_GB2312" w:eastAsia="楷体_GB2312"/>
          <w:sz w:val="32"/>
          <w:szCs w:val="32"/>
        </w:rPr>
        <w:t>（一）一般公共预算财政拨款支出决算总体情况</w:t>
      </w:r>
    </w:p>
    <w:p>
      <w:pPr>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441.06</w:t>
      </w:r>
      <w:r>
        <w:rPr>
          <w:rFonts w:hint="eastAsia" w:ascii="仿宋_GB2312" w:eastAsia="仿宋_GB2312"/>
          <w:sz w:val="32"/>
          <w:szCs w:val="32"/>
        </w:rPr>
        <w:t>万元，占本年支出合计的</w:t>
      </w:r>
      <w:r>
        <w:rPr>
          <w:rFonts w:hint="eastAsia" w:ascii="仿宋_GB2312" w:eastAsia="仿宋_GB2312"/>
          <w:sz w:val="32"/>
          <w:szCs w:val="32"/>
          <w:lang w:val="en-US" w:eastAsia="zh-CN"/>
        </w:rPr>
        <w:t>99.75</w:t>
      </w:r>
      <w:r>
        <w:rPr>
          <w:rFonts w:hint="eastAsia" w:ascii="仿宋_GB2312" w:eastAsia="仿宋_GB2312"/>
          <w:sz w:val="32"/>
          <w:szCs w:val="32"/>
        </w:rPr>
        <w:t>%。与2019年相比，一般公共预算财政拨款支出</w:t>
      </w:r>
      <w:r>
        <w:rPr>
          <w:rFonts w:hint="eastAsia" w:ascii="仿宋_GB2312" w:eastAsia="仿宋_GB2312"/>
          <w:sz w:val="32"/>
          <w:szCs w:val="32"/>
          <w:lang w:eastAsia="zh-CN"/>
        </w:rPr>
        <w:t>减少</w:t>
      </w:r>
      <w:r>
        <w:rPr>
          <w:rFonts w:hint="eastAsia" w:ascii="仿宋_GB2312" w:eastAsia="仿宋_GB2312"/>
          <w:sz w:val="32"/>
          <w:szCs w:val="32"/>
          <w:lang w:val="en-US" w:eastAsia="zh-CN"/>
        </w:rPr>
        <w:t>92.11万元，减少122.14%</w:t>
      </w:r>
      <w:r>
        <w:rPr>
          <w:rFonts w:hint="eastAsia" w:ascii="仿宋_GB2312" w:eastAsia="仿宋_GB2312"/>
          <w:sz w:val="32"/>
          <w:szCs w:val="32"/>
        </w:rPr>
        <w:t>。主要是</w:t>
      </w:r>
      <w:r>
        <w:rPr>
          <w:rFonts w:hint="eastAsia" w:ascii="仿宋_GB2312" w:eastAsia="仿宋_GB2312"/>
          <w:sz w:val="32"/>
          <w:szCs w:val="32"/>
          <w:lang w:eastAsia="zh-CN"/>
        </w:rPr>
        <w:t>疫情影响出国（境）人员减少，外事友城交流费用减少。</w:t>
      </w:r>
    </w:p>
    <w:p>
      <w:pPr>
        <w:jc w:val="both"/>
        <w:rPr>
          <w:rFonts w:hint="eastAsia" w:ascii="仿宋_GB2312" w:eastAsia="仿宋_GB2312"/>
          <w:sz w:val="32"/>
          <w:szCs w:val="32"/>
          <w:lang w:val="en-US" w:eastAsia="zh-CN"/>
        </w:rPr>
      </w:pPr>
    </w:p>
    <w:p>
      <w:pPr>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图5：一般公共预算财政拨款</w:t>
      </w:r>
      <w:r>
        <w:rPr>
          <w:rFonts w:hint="eastAsia" w:ascii="仿宋_GB2312" w:eastAsia="仿宋_GB2312"/>
          <w:sz w:val="32"/>
          <w:szCs w:val="32"/>
        </w:rPr>
        <w:t>支出</w:t>
      </w:r>
      <w:r>
        <w:rPr>
          <w:rFonts w:hint="eastAsia" w:ascii="仿宋_GB2312" w:eastAsia="仿宋_GB2312"/>
          <w:sz w:val="32"/>
          <w:szCs w:val="32"/>
          <w:lang w:val="en-US" w:eastAsia="zh-CN"/>
        </w:rPr>
        <w:t>决算变动情况</w:t>
      </w:r>
    </w:p>
    <w:p>
      <w:pPr>
        <w:ind w:firstLine="640" w:firstLineChars="200"/>
        <w:jc w:val="center"/>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单位：万元</w:t>
      </w:r>
      <w:r>
        <w:rPr>
          <w:rFonts w:hint="eastAsia" w:ascii="仿宋_GB2312" w:eastAsia="仿宋_GB2312"/>
          <w:sz w:val="32"/>
          <w:szCs w:val="32"/>
          <w:lang w:eastAsia="zh-CN"/>
        </w:rPr>
        <w:t>）</w:t>
      </w:r>
    </w:p>
    <w:p>
      <w:pPr>
        <w:ind w:firstLine="420" w:firstLineChars="200"/>
        <w:jc w:val="center"/>
        <w:rPr>
          <w:rFonts w:hint="eastAsia" w:ascii="仿宋_GB2312" w:eastAsia="仿宋_GB2312"/>
          <w:sz w:val="32"/>
          <w:szCs w:val="32"/>
        </w:rPr>
      </w:pPr>
      <w:r>
        <w:drawing>
          <wp:inline distT="0" distB="0" distL="114300" distR="114300">
            <wp:extent cx="5052060" cy="2600325"/>
            <wp:effectExtent l="4445" t="4445" r="10795" b="508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（二）一般公共预算财政拨款支出决算结构情况</w:t>
      </w:r>
    </w:p>
    <w:p>
      <w:pPr>
        <w:ind w:firstLine="640" w:firstLineChars="200"/>
        <w:rPr>
          <w:rFonts w:hint="eastAsia"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441.06</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441.06</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%；国防（类）支出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%；公共安全（类）支出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%；教育（类）支出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rPr>
      </w:pPr>
    </w:p>
    <w:p>
      <w:pPr>
        <w:ind w:firstLine="640" w:firstLineChars="200"/>
        <w:jc w:val="center"/>
        <w:rPr>
          <w:rFonts w:hint="eastAsia" w:ascii="仿宋_GB2312" w:eastAsia="仿宋_GB2312"/>
          <w:sz w:val="32"/>
          <w:szCs w:val="32"/>
          <w:lang w:val="en-US" w:eastAsia="zh-CN"/>
        </w:rPr>
      </w:pPr>
    </w:p>
    <w:p>
      <w:pPr>
        <w:ind w:firstLine="640" w:firstLineChars="200"/>
        <w:jc w:val="center"/>
        <w:rPr>
          <w:rFonts w:hint="eastAsia" w:ascii="仿宋_GB2312" w:eastAsia="仿宋_GB2312"/>
          <w:sz w:val="32"/>
          <w:szCs w:val="32"/>
          <w:lang w:val="en-US" w:eastAsia="zh-CN"/>
        </w:rPr>
      </w:pPr>
    </w:p>
    <w:p>
      <w:pPr>
        <w:ind w:firstLine="640" w:firstLineChars="200"/>
        <w:jc w:val="center"/>
        <w:rPr>
          <w:rFonts w:hint="eastAsia" w:ascii="仿宋_GB2312" w:eastAsia="仿宋_GB2312"/>
          <w:sz w:val="32"/>
          <w:szCs w:val="32"/>
          <w:lang w:val="en-US" w:eastAsia="zh-CN"/>
        </w:rPr>
      </w:pPr>
    </w:p>
    <w:p>
      <w:pPr>
        <w:ind w:firstLine="640" w:firstLineChars="200"/>
        <w:jc w:val="center"/>
        <w:rPr>
          <w:rFonts w:hint="eastAsia" w:ascii="仿宋_GB2312" w:eastAsia="仿宋_GB2312"/>
          <w:sz w:val="32"/>
          <w:szCs w:val="32"/>
          <w:lang w:val="en-US" w:eastAsia="zh-CN"/>
        </w:rPr>
      </w:pPr>
    </w:p>
    <w:p>
      <w:pPr>
        <w:ind w:firstLine="640" w:firstLineChars="200"/>
        <w:jc w:val="center"/>
        <w:rPr>
          <w:rFonts w:hint="eastAsia" w:ascii="仿宋_GB2312" w:eastAsia="仿宋_GB2312"/>
          <w:sz w:val="32"/>
          <w:szCs w:val="32"/>
        </w:rPr>
      </w:pPr>
      <w:r>
        <w:rPr>
          <w:rFonts w:hint="eastAsia" w:ascii="仿宋_GB2312" w:eastAsia="仿宋_GB2312"/>
          <w:sz w:val="32"/>
          <w:szCs w:val="32"/>
          <w:lang w:val="en-US" w:eastAsia="zh-CN"/>
        </w:rPr>
        <w:t>图6：财政拨款支出决算结构</w:t>
      </w:r>
    </w:p>
    <w:p>
      <w:pPr>
        <w:ind w:firstLine="640" w:firstLineChars="200"/>
        <w:jc w:val="center"/>
        <w:rPr>
          <w:rFonts w:hint="eastAsia" w:ascii="仿宋_GB2312" w:eastAsia="仿宋_GB2312"/>
          <w:sz w:val="32"/>
          <w:szCs w:val="32"/>
        </w:rPr>
      </w:pPr>
      <w:r>
        <w:rPr>
          <w:rFonts w:hint="eastAsia" w:ascii="仿宋_GB2312" w:eastAsia="仿宋_GB2312"/>
          <w:sz w:val="32"/>
          <w:szCs w:val="32"/>
        </w:rPr>
        <w:drawing>
          <wp:inline distT="0" distB="0" distL="114300" distR="114300">
            <wp:extent cx="4704715" cy="2752725"/>
            <wp:effectExtent l="4445" t="4445" r="1524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ind w:firstLine="640" w:firstLineChars="200"/>
        <w:rPr>
          <w:rFonts w:ascii="楷体_GB2312" w:eastAsia="楷体_GB2312"/>
          <w:sz w:val="32"/>
          <w:szCs w:val="32"/>
        </w:rPr>
      </w:pPr>
      <w:r>
        <w:rPr>
          <w:rFonts w:hint="eastAsia" w:ascii="楷体_GB2312" w:eastAsia="楷体_GB2312"/>
          <w:sz w:val="32"/>
          <w:szCs w:val="32"/>
        </w:rPr>
        <w:t>（三）一般公共预算财政拨款支出决算具体情况</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w:t>
      </w:r>
      <w:r>
        <w:rPr>
          <w:rFonts w:hint="eastAsia" w:ascii="仿宋_GB2312" w:eastAsia="仿宋_GB2312"/>
          <w:sz w:val="32"/>
          <w:szCs w:val="32"/>
          <w:lang w:val="en-US" w:eastAsia="zh-CN"/>
        </w:rPr>
        <w:t>442.16</w:t>
      </w:r>
      <w:r>
        <w:rPr>
          <w:rFonts w:hint="eastAsia" w:ascii="仿宋_GB2312" w:eastAsia="仿宋_GB2312"/>
          <w:sz w:val="32"/>
          <w:szCs w:val="32"/>
        </w:rPr>
        <w:t>万元，支出决算为</w:t>
      </w:r>
      <w:r>
        <w:rPr>
          <w:rFonts w:hint="eastAsia" w:ascii="仿宋_GB2312" w:eastAsia="仿宋_GB2312"/>
          <w:sz w:val="32"/>
          <w:szCs w:val="32"/>
          <w:lang w:val="en-US" w:eastAsia="zh-CN"/>
        </w:rPr>
        <w:t>441.06</w:t>
      </w:r>
      <w:r>
        <w:rPr>
          <w:rFonts w:hint="eastAsia" w:ascii="仿宋_GB2312" w:eastAsia="仿宋_GB2312"/>
          <w:sz w:val="32"/>
          <w:szCs w:val="32"/>
        </w:rPr>
        <w:t>万元，完成年初预算的</w:t>
      </w:r>
      <w:r>
        <w:rPr>
          <w:rFonts w:hint="eastAsia" w:ascii="仿宋_GB2312" w:eastAsia="仿宋_GB2312"/>
          <w:sz w:val="32"/>
          <w:szCs w:val="32"/>
          <w:lang w:val="en-US" w:eastAsia="zh-CN"/>
        </w:rPr>
        <w:t>99.75</w:t>
      </w:r>
      <w:r>
        <w:rPr>
          <w:rFonts w:hint="eastAsia" w:ascii="仿宋_GB2312" w:eastAsia="仿宋_GB2312"/>
          <w:sz w:val="32"/>
          <w:szCs w:val="32"/>
        </w:rPr>
        <w:t>%。决算数大于年初预算数的主要原因</w:t>
      </w:r>
      <w:r>
        <w:rPr>
          <w:rFonts w:hint="eastAsia" w:ascii="仿宋_GB2312" w:eastAsia="仿宋_GB2312"/>
          <w:sz w:val="32"/>
          <w:szCs w:val="32"/>
          <w:lang w:eastAsia="zh-CN"/>
        </w:rPr>
        <w:t>厉行节约</w:t>
      </w:r>
      <w:r>
        <w:rPr>
          <w:rFonts w:hint="eastAsia" w:ascii="仿宋_GB2312" w:eastAsia="仿宋_GB2312"/>
          <w:sz w:val="32"/>
          <w:szCs w:val="32"/>
        </w:rPr>
        <w:t>。其中：</w:t>
      </w:r>
    </w:p>
    <w:p>
      <w:pPr>
        <w:numPr>
          <w:ilvl w:val="0"/>
          <w:numId w:val="1"/>
        </w:numPr>
        <w:ind w:firstLine="640" w:firstLineChars="200"/>
        <w:rPr>
          <w:rFonts w:hint="eastAsia" w:ascii="仿宋_GB2312" w:eastAsia="仿宋_GB2312"/>
          <w:b w:val="0"/>
          <w:bCs/>
          <w:sz w:val="32"/>
          <w:szCs w:val="32"/>
        </w:rPr>
      </w:pPr>
      <w:r>
        <w:rPr>
          <w:rFonts w:hint="eastAsia" w:ascii="仿宋_GB2312" w:eastAsia="仿宋_GB2312"/>
          <w:sz w:val="32"/>
          <w:szCs w:val="32"/>
        </w:rPr>
        <w:t>一般公共服务支出（类）财政事务（款）行政运行（项）。</w:t>
      </w:r>
      <w:r>
        <w:rPr>
          <w:rFonts w:hint="eastAsia" w:ascii="仿宋_GB2312" w:hAnsi="宋体" w:eastAsia="仿宋_GB2312" w:cs="仿宋_GB2312"/>
          <w:i w:val="0"/>
          <w:caps w:val="0"/>
          <w:color w:val="auto"/>
          <w:spacing w:val="0"/>
          <w:sz w:val="31"/>
          <w:szCs w:val="31"/>
          <w:highlight w:val="none"/>
          <w:u w:val="none"/>
          <w:shd w:val="clear" w:fill="FFFFFF"/>
        </w:rPr>
        <w:t>主要反映用于</w:t>
      </w:r>
      <w:r>
        <w:rPr>
          <w:rFonts w:hint="eastAsia" w:ascii="仿宋_GB2312" w:hAnsi="宋体" w:eastAsia="仿宋_GB2312" w:cs="仿宋_GB2312"/>
          <w:i w:val="0"/>
          <w:caps w:val="0"/>
          <w:color w:val="auto"/>
          <w:spacing w:val="0"/>
          <w:sz w:val="31"/>
          <w:szCs w:val="31"/>
          <w:highlight w:val="none"/>
          <w:u w:val="none"/>
          <w:shd w:val="clear" w:fill="FFFFFF"/>
          <w:lang w:eastAsia="zh-CN"/>
        </w:rPr>
        <w:t>日常行政运转</w:t>
      </w:r>
      <w:r>
        <w:rPr>
          <w:rFonts w:hint="eastAsia" w:ascii="仿宋_GB2312" w:hAnsi="宋体" w:eastAsia="仿宋_GB2312" w:cs="仿宋_GB2312"/>
          <w:i w:val="0"/>
          <w:caps w:val="0"/>
          <w:color w:val="auto"/>
          <w:spacing w:val="0"/>
          <w:sz w:val="31"/>
          <w:szCs w:val="31"/>
          <w:highlight w:val="none"/>
          <w:u w:val="none"/>
          <w:shd w:val="clear" w:fill="FFFFFF"/>
        </w:rPr>
        <w:t>支出</w:t>
      </w:r>
      <w:r>
        <w:rPr>
          <w:rFonts w:hint="eastAsia" w:ascii="仿宋_GB2312" w:eastAsia="仿宋_GB2312"/>
          <w:sz w:val="32"/>
          <w:szCs w:val="32"/>
        </w:rPr>
        <w:t>。年初预算为</w:t>
      </w:r>
      <w:r>
        <w:rPr>
          <w:rFonts w:hint="eastAsia" w:ascii="仿宋_GB2312" w:eastAsia="仿宋_GB2312"/>
          <w:sz w:val="32"/>
          <w:szCs w:val="32"/>
          <w:lang w:val="en-US" w:eastAsia="zh-CN"/>
        </w:rPr>
        <w:t>268.28</w:t>
      </w:r>
      <w:r>
        <w:rPr>
          <w:rFonts w:hint="eastAsia" w:ascii="仿宋_GB2312" w:eastAsia="仿宋_GB2312"/>
          <w:sz w:val="32"/>
          <w:szCs w:val="32"/>
        </w:rPr>
        <w:t>万元，支出决算为</w:t>
      </w:r>
      <w:r>
        <w:rPr>
          <w:rFonts w:hint="eastAsia" w:ascii="仿宋_GB2312" w:eastAsia="仿宋_GB2312"/>
          <w:sz w:val="32"/>
          <w:szCs w:val="32"/>
          <w:lang w:val="en-US" w:eastAsia="zh-CN"/>
        </w:rPr>
        <w:t>381.84</w:t>
      </w:r>
      <w:r>
        <w:rPr>
          <w:rFonts w:hint="eastAsia" w:ascii="仿宋_GB2312" w:eastAsia="仿宋_GB2312"/>
          <w:sz w:val="32"/>
          <w:szCs w:val="32"/>
        </w:rPr>
        <w:t>万元，完成年初预算的</w:t>
      </w:r>
      <w:r>
        <w:rPr>
          <w:rFonts w:hint="eastAsia" w:ascii="仿宋_GB2312" w:eastAsia="仿宋_GB2312"/>
          <w:sz w:val="32"/>
          <w:szCs w:val="32"/>
          <w:lang w:val="en-US" w:eastAsia="zh-CN"/>
        </w:rPr>
        <w:t>142.32</w:t>
      </w:r>
      <w:r>
        <w:rPr>
          <w:rFonts w:hint="eastAsia" w:ascii="仿宋_GB2312" w:eastAsia="仿宋_GB2312"/>
          <w:sz w:val="32"/>
          <w:szCs w:val="32"/>
        </w:rPr>
        <w:t>%。决算数大于年初预算数主要原因是</w:t>
      </w:r>
      <w:r>
        <w:rPr>
          <w:rFonts w:hint="eastAsia" w:ascii="仿宋_GB2312" w:eastAsia="仿宋_GB2312"/>
          <w:sz w:val="32"/>
          <w:szCs w:val="32"/>
          <w:lang w:eastAsia="zh-CN"/>
        </w:rPr>
        <w:t>新进人员导致人员经费增加，包村补助标准提高</w:t>
      </w:r>
      <w:r>
        <w:rPr>
          <w:rFonts w:hint="eastAsia" w:ascii="仿宋_GB2312" w:eastAsia="仿宋_GB2312"/>
          <w:sz w:val="32"/>
          <w:szCs w:val="32"/>
        </w:rPr>
        <w:t>。</w:t>
      </w:r>
    </w:p>
    <w:p>
      <w:pPr>
        <w:ind w:firstLine="640" w:firstLineChars="200"/>
        <w:rPr>
          <w:rFonts w:hint="eastAsia" w:ascii="仿宋_GB2312" w:eastAsia="仿宋_GB2312"/>
          <w:b w:val="0"/>
          <w:bCs/>
          <w:sz w:val="32"/>
          <w:szCs w:val="32"/>
        </w:rPr>
      </w:pPr>
      <w:r>
        <w:rPr>
          <w:rFonts w:hint="eastAsia" w:ascii="仿宋_GB2312" w:eastAsia="仿宋_GB2312"/>
          <w:b w:val="0"/>
          <w:bCs/>
          <w:sz w:val="32"/>
          <w:szCs w:val="32"/>
          <w:lang w:val="en-US" w:eastAsia="zh-CN"/>
        </w:rPr>
        <w:t>2、一般公共服务支出（类）财政事务（款）一般行政管理事务（项）。主要反映用于日常项目支出。年初预算为136.24万元，支出决算为59.23万元，完成年初预算的43.47%。决算数小于年初预算数主要原因是因境外疫情导致出国及外宾来访减少。</w:t>
      </w:r>
    </w:p>
    <w:p>
      <w:pPr>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2020年度一般公共预算财政拨款基本支出决算</w:t>
      </w:r>
      <w:r>
        <w:rPr>
          <w:rFonts w:hint="eastAsia" w:ascii="仿宋_GB2312" w:eastAsia="仿宋_GB2312"/>
          <w:sz w:val="32"/>
          <w:szCs w:val="32"/>
          <w:lang w:val="en-US" w:eastAsia="zh-CN"/>
        </w:rPr>
        <w:t>441.06</w:t>
      </w:r>
      <w:r>
        <w:rPr>
          <w:rFonts w:hint="eastAsia" w:ascii="仿宋_GB2312" w:eastAsia="仿宋_GB2312"/>
          <w:sz w:val="32"/>
          <w:szCs w:val="32"/>
        </w:rPr>
        <w:t>万元，包括人员经费和公用经费，支出具体情况如下：</w:t>
      </w:r>
    </w:p>
    <w:p>
      <w:pPr>
        <w:ind w:firstLine="640" w:firstLineChars="200"/>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285.73</w:t>
      </w:r>
      <w:r>
        <w:rPr>
          <w:rFonts w:hint="eastAsia" w:ascii="仿宋_GB2312" w:eastAsia="仿宋_GB2312"/>
          <w:sz w:val="32"/>
          <w:szCs w:val="32"/>
        </w:rPr>
        <w:t>万元，主要包括：基本工资</w:t>
      </w:r>
      <w:r>
        <w:rPr>
          <w:rFonts w:hint="eastAsia" w:ascii="仿宋_GB2312" w:eastAsia="仿宋_GB2312"/>
          <w:sz w:val="32"/>
          <w:szCs w:val="32"/>
          <w:lang w:val="en-US" w:eastAsia="zh-CN"/>
        </w:rPr>
        <w:t>167.36万元</w:t>
      </w:r>
      <w:r>
        <w:rPr>
          <w:rFonts w:hint="eastAsia" w:ascii="仿宋_GB2312" w:eastAsia="仿宋_GB2312"/>
          <w:sz w:val="32"/>
          <w:szCs w:val="32"/>
        </w:rPr>
        <w:t>、津贴补贴</w:t>
      </w:r>
      <w:r>
        <w:rPr>
          <w:rFonts w:hint="eastAsia" w:ascii="仿宋_GB2312" w:eastAsia="仿宋_GB2312"/>
          <w:sz w:val="32"/>
          <w:szCs w:val="32"/>
          <w:lang w:val="en-US" w:eastAsia="zh-CN"/>
        </w:rPr>
        <w:t>21.91万元</w:t>
      </w:r>
      <w:r>
        <w:rPr>
          <w:rFonts w:hint="eastAsia" w:ascii="仿宋_GB2312" w:eastAsia="仿宋_GB2312"/>
          <w:sz w:val="32"/>
          <w:szCs w:val="32"/>
        </w:rPr>
        <w:t>、奖金</w:t>
      </w:r>
      <w:r>
        <w:rPr>
          <w:rFonts w:hint="eastAsia" w:ascii="仿宋_GB2312" w:eastAsia="仿宋_GB2312"/>
          <w:sz w:val="32"/>
          <w:szCs w:val="32"/>
          <w:lang w:val="en-US" w:eastAsia="zh-CN"/>
        </w:rPr>
        <w:t>11.03万元、机关事业单位基本养老保险缴费46.93万元、职业年金缴费5.91万元、住房公积金28.31万元、其他工资福利支出6.07万元；退休费2.36万元、抚恤金24.88万元</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28.72</w:t>
      </w:r>
      <w:r>
        <w:rPr>
          <w:rFonts w:hint="eastAsia" w:ascii="仿宋_GB2312" w:eastAsia="仿宋_GB2312"/>
          <w:sz w:val="32"/>
          <w:szCs w:val="32"/>
        </w:rPr>
        <w:t>万元，主要包括：办公费</w:t>
      </w:r>
      <w:r>
        <w:rPr>
          <w:rFonts w:hint="eastAsia" w:ascii="仿宋_GB2312" w:eastAsia="仿宋_GB2312"/>
          <w:sz w:val="32"/>
          <w:szCs w:val="32"/>
          <w:lang w:val="en-US" w:eastAsia="zh-CN"/>
        </w:rPr>
        <w:t>9.80万元</w:t>
      </w:r>
      <w:r>
        <w:rPr>
          <w:rFonts w:hint="eastAsia" w:ascii="仿宋_GB2312" w:eastAsia="仿宋_GB2312"/>
          <w:sz w:val="32"/>
          <w:szCs w:val="32"/>
        </w:rPr>
        <w:t>、印刷费</w:t>
      </w:r>
      <w:r>
        <w:rPr>
          <w:rFonts w:hint="eastAsia" w:ascii="仿宋_GB2312" w:eastAsia="仿宋_GB2312"/>
          <w:sz w:val="32"/>
          <w:szCs w:val="32"/>
          <w:lang w:val="en-US" w:eastAsia="zh-CN"/>
        </w:rPr>
        <w:t>0.69万元</w:t>
      </w:r>
      <w:r>
        <w:rPr>
          <w:rFonts w:hint="eastAsia" w:ascii="仿宋_GB2312" w:eastAsia="仿宋_GB2312"/>
          <w:sz w:val="32"/>
          <w:szCs w:val="32"/>
        </w:rPr>
        <w:t>、</w:t>
      </w:r>
      <w:r>
        <w:rPr>
          <w:rFonts w:hint="eastAsia" w:ascii="仿宋_GB2312" w:eastAsia="仿宋_GB2312"/>
          <w:sz w:val="32"/>
          <w:szCs w:val="32"/>
          <w:lang w:eastAsia="zh-CN"/>
        </w:rPr>
        <w:t>邮电费</w:t>
      </w:r>
      <w:r>
        <w:rPr>
          <w:rFonts w:hint="eastAsia" w:ascii="仿宋_GB2312" w:eastAsia="仿宋_GB2312"/>
          <w:sz w:val="32"/>
          <w:szCs w:val="32"/>
          <w:lang w:val="en-US" w:eastAsia="zh-CN"/>
        </w:rPr>
        <w:t>0.77万元、差旅费2.69万元、维修（护）费0.12万元、会议费0.11万元、公务接待费0.23万元、工会经费2.79万元、其他交通费用10.51万元、其他商品和服务支出1.02万元</w:t>
      </w:r>
      <w:r>
        <w:rPr>
          <w:rFonts w:hint="eastAsia" w:ascii="仿宋_GB2312"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ind w:firstLine="640" w:firstLineChars="200"/>
        <w:rPr>
          <w:rFonts w:ascii="楷体_GB2312" w:eastAsia="楷体_GB2312"/>
          <w:sz w:val="32"/>
          <w:szCs w:val="32"/>
        </w:rPr>
      </w:pPr>
      <w:r>
        <w:rPr>
          <w:rFonts w:hint="eastAsia" w:ascii="楷体_GB2312" w:eastAsia="楷体_GB2312"/>
          <w:sz w:val="32"/>
          <w:szCs w:val="32"/>
        </w:rPr>
        <w:t>（一）“三公”经费支出决算总体情况及增减变动原因</w:t>
      </w:r>
    </w:p>
    <w:p>
      <w:pPr>
        <w:ind w:firstLine="640" w:firstLineChars="200"/>
        <w:rPr>
          <w:rFonts w:ascii="仿宋_GB2312" w:eastAsia="仿宋_GB2312"/>
          <w:sz w:val="32"/>
          <w:szCs w:val="32"/>
        </w:rPr>
      </w:pPr>
      <w:r>
        <w:rPr>
          <w:rFonts w:hint="eastAsia" w:ascii="仿宋_GB2312" w:hAnsi="宋体" w:eastAsia="仿宋_GB2312" w:cs="Courier New"/>
          <w:sz w:val="32"/>
          <w:szCs w:val="32"/>
        </w:rPr>
        <w:t>一般公共预算财政拨款“三公”经费支出范围包括</w:t>
      </w:r>
      <w:r>
        <w:rPr>
          <w:rFonts w:hint="eastAsia" w:ascii="仿宋_GB2312" w:hAnsi="宋体" w:eastAsia="仿宋_GB2312" w:cs="Courier New"/>
          <w:sz w:val="32"/>
          <w:szCs w:val="32"/>
          <w:lang w:eastAsia="zh-CN"/>
        </w:rPr>
        <w:t>济宁市人民政府外事办公室</w:t>
      </w:r>
      <w:r>
        <w:rPr>
          <w:rFonts w:hint="eastAsia" w:ascii="仿宋_GB2312" w:hAnsi="宋体" w:eastAsia="仿宋_GB2312" w:cs="Courier New"/>
          <w:sz w:val="32"/>
          <w:szCs w:val="32"/>
        </w:rPr>
        <w:t>机关</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个预算单位。</w:t>
      </w:r>
      <w:r>
        <w:rPr>
          <w:rFonts w:hint="eastAsia" w:ascii="仿宋_GB2312" w:eastAsia="仿宋_GB2312"/>
          <w:sz w:val="32"/>
          <w:szCs w:val="32"/>
        </w:rPr>
        <w:t>2020年度一般公共预算财政拨款“三公”经费决算数为</w:t>
      </w:r>
      <w:r>
        <w:rPr>
          <w:rFonts w:hint="eastAsia" w:ascii="仿宋_GB2312" w:eastAsia="仿宋_GB2312"/>
          <w:sz w:val="32"/>
          <w:szCs w:val="32"/>
          <w:lang w:val="en-US" w:eastAsia="zh-CN"/>
        </w:rPr>
        <w:t>3.61</w:t>
      </w:r>
      <w:r>
        <w:rPr>
          <w:rFonts w:hint="eastAsia" w:ascii="仿宋_GB2312" w:eastAsia="仿宋_GB2312"/>
          <w:sz w:val="32"/>
          <w:szCs w:val="32"/>
        </w:rPr>
        <w:t>万元，完成年初预算的</w:t>
      </w:r>
      <w:r>
        <w:rPr>
          <w:rFonts w:hint="eastAsia" w:ascii="仿宋_GB2312" w:eastAsia="仿宋_GB2312"/>
          <w:sz w:val="32"/>
          <w:szCs w:val="32"/>
          <w:lang w:val="en-US" w:eastAsia="zh-CN"/>
        </w:rPr>
        <w:t>10.63</w:t>
      </w:r>
      <w:r>
        <w:rPr>
          <w:rFonts w:hint="eastAsia" w:ascii="仿宋_GB2312" w:eastAsia="仿宋_GB2312"/>
          <w:sz w:val="32"/>
          <w:szCs w:val="32"/>
        </w:rPr>
        <w:t>%，其中：因公出国（境）费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%；公务接待费</w:t>
      </w:r>
      <w:r>
        <w:rPr>
          <w:rFonts w:hint="eastAsia" w:ascii="仿宋_GB2312" w:eastAsia="仿宋_GB2312"/>
          <w:sz w:val="32"/>
          <w:szCs w:val="32"/>
          <w:lang w:val="en-US" w:eastAsia="zh-CN"/>
        </w:rPr>
        <w:t>3.61</w:t>
      </w:r>
      <w:r>
        <w:rPr>
          <w:rFonts w:hint="eastAsia" w:ascii="仿宋_GB2312" w:eastAsia="仿宋_GB2312"/>
          <w:sz w:val="32"/>
          <w:szCs w:val="32"/>
        </w:rPr>
        <w:t>万元，完成年初预算的</w:t>
      </w:r>
      <w:r>
        <w:rPr>
          <w:rFonts w:hint="eastAsia" w:ascii="仿宋_GB2312" w:eastAsia="仿宋_GB2312"/>
          <w:sz w:val="32"/>
          <w:szCs w:val="32"/>
          <w:lang w:val="en-US" w:eastAsia="zh-CN"/>
        </w:rPr>
        <w:t>10.63</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2020年“三公”经费决算比年初预算数减少</w:t>
      </w:r>
      <w:r>
        <w:rPr>
          <w:rFonts w:hint="eastAsia" w:ascii="仿宋_GB2312" w:eastAsia="仿宋_GB2312"/>
          <w:sz w:val="32"/>
          <w:szCs w:val="32"/>
          <w:lang w:val="en-US" w:eastAsia="zh-CN"/>
        </w:rPr>
        <w:t>30.33</w:t>
      </w:r>
      <w:r>
        <w:rPr>
          <w:rFonts w:hint="eastAsia" w:ascii="仿宋_GB2312" w:eastAsia="仿宋_GB2312"/>
          <w:sz w:val="32"/>
          <w:szCs w:val="32"/>
        </w:rPr>
        <w:t>万元，主要原因是</w:t>
      </w:r>
      <w:r>
        <w:rPr>
          <w:rFonts w:hint="eastAsia" w:ascii="仿宋_GB2312" w:eastAsia="仿宋_GB2312"/>
          <w:sz w:val="32"/>
          <w:szCs w:val="32"/>
          <w:lang w:eastAsia="zh-CN"/>
        </w:rPr>
        <w:t>因疫情影响接待外宾减少</w:t>
      </w:r>
      <w:r>
        <w:rPr>
          <w:rFonts w:hint="eastAsia" w:ascii="仿宋_GB2312" w:eastAsia="仿宋_GB2312"/>
          <w:sz w:val="32"/>
          <w:szCs w:val="32"/>
        </w:rPr>
        <w:t>。其中：因公出国（境）费基本持平、公务用车购置及运行费减少</w:t>
      </w:r>
      <w:r>
        <w:rPr>
          <w:rFonts w:hint="eastAsia" w:ascii="仿宋_GB2312" w:eastAsia="仿宋_GB2312"/>
          <w:sz w:val="32"/>
          <w:szCs w:val="32"/>
          <w:lang w:val="en-US" w:eastAsia="zh-CN"/>
        </w:rPr>
        <w:t>0.5</w:t>
      </w:r>
      <w:r>
        <w:rPr>
          <w:rFonts w:hint="eastAsia" w:ascii="仿宋_GB2312" w:eastAsia="仿宋_GB2312"/>
          <w:sz w:val="32"/>
          <w:szCs w:val="32"/>
        </w:rPr>
        <w:t>万元、公务接待费减少</w:t>
      </w:r>
      <w:r>
        <w:rPr>
          <w:rFonts w:hint="eastAsia" w:ascii="仿宋_GB2312" w:eastAsia="仿宋_GB2312"/>
          <w:sz w:val="32"/>
          <w:szCs w:val="32"/>
          <w:lang w:val="en-US" w:eastAsia="zh-CN"/>
        </w:rPr>
        <w:t>29.83</w:t>
      </w:r>
      <w:r>
        <w:rPr>
          <w:rFonts w:hint="eastAsia" w:ascii="仿宋_GB2312" w:eastAsia="仿宋_GB2312"/>
          <w:sz w:val="32"/>
          <w:szCs w:val="32"/>
        </w:rPr>
        <w:t>万元。因公出国（境）费减少的主要原因是</w:t>
      </w:r>
      <w:r>
        <w:rPr>
          <w:rFonts w:hint="eastAsia" w:ascii="仿宋_GB2312" w:eastAsia="仿宋_GB2312"/>
          <w:sz w:val="32"/>
          <w:szCs w:val="32"/>
          <w:lang w:eastAsia="zh-CN"/>
        </w:rPr>
        <w:t>疫情影响</w:t>
      </w:r>
      <w:r>
        <w:rPr>
          <w:rFonts w:hint="eastAsia" w:ascii="仿宋_GB2312" w:eastAsia="仿宋_GB2312"/>
          <w:sz w:val="32"/>
          <w:szCs w:val="32"/>
        </w:rPr>
        <w:t>因公出国（境）</w:t>
      </w:r>
      <w:r>
        <w:rPr>
          <w:rFonts w:hint="eastAsia" w:ascii="仿宋_GB2312" w:eastAsia="仿宋_GB2312"/>
          <w:sz w:val="32"/>
          <w:szCs w:val="32"/>
          <w:lang w:eastAsia="zh-CN"/>
        </w:rPr>
        <w:t>人员减少</w:t>
      </w:r>
      <w:r>
        <w:rPr>
          <w:rFonts w:hint="eastAsia" w:ascii="仿宋_GB2312" w:eastAsia="仿宋_GB2312"/>
          <w:sz w:val="32"/>
          <w:szCs w:val="32"/>
        </w:rPr>
        <w:t>。公务用车购置及运行费减少的主要原因是</w:t>
      </w:r>
      <w:r>
        <w:rPr>
          <w:rFonts w:hint="eastAsia" w:ascii="仿宋_GB2312" w:eastAsia="仿宋_GB2312"/>
          <w:sz w:val="32"/>
          <w:szCs w:val="32"/>
          <w:lang w:eastAsia="zh-CN"/>
        </w:rPr>
        <w:t>事业单位车辆报废</w:t>
      </w:r>
      <w:r>
        <w:rPr>
          <w:rFonts w:hint="eastAsia" w:ascii="仿宋_GB2312" w:eastAsia="仿宋_GB2312"/>
          <w:sz w:val="32"/>
          <w:szCs w:val="32"/>
        </w:rPr>
        <w:t>。公务接待费增加减少的主要原因是</w:t>
      </w:r>
      <w:r>
        <w:rPr>
          <w:rFonts w:hint="eastAsia" w:ascii="仿宋_GB2312" w:eastAsia="仿宋_GB2312"/>
          <w:sz w:val="32"/>
          <w:szCs w:val="32"/>
          <w:lang w:eastAsia="zh-CN"/>
        </w:rPr>
        <w:t>接待外宾减少。</w:t>
      </w:r>
    </w:p>
    <w:p>
      <w:pPr>
        <w:ind w:firstLine="640" w:firstLineChars="200"/>
        <w:rPr>
          <w:rFonts w:ascii="楷体_GB2312" w:eastAsia="楷体_GB2312"/>
          <w:sz w:val="32"/>
          <w:szCs w:val="32"/>
        </w:rPr>
      </w:pPr>
      <w:r>
        <w:rPr>
          <w:rFonts w:hint="eastAsia" w:ascii="楷体_GB2312" w:eastAsia="楷体_GB2312"/>
          <w:sz w:val="32"/>
          <w:szCs w:val="32"/>
        </w:rPr>
        <w:t>（二）“三公”经费支出决算具体情况</w:t>
      </w:r>
    </w:p>
    <w:p>
      <w:pPr>
        <w:ind w:firstLine="640" w:firstLineChars="200"/>
        <w:rPr>
          <w:rFonts w:hint="eastAsia" w:ascii="仿宋_GB2312" w:eastAsia="仿宋_GB2312"/>
          <w:sz w:val="32"/>
          <w:szCs w:val="32"/>
        </w:rPr>
      </w:pPr>
      <w:r>
        <w:rPr>
          <w:rFonts w:hint="eastAsia" w:ascii="仿宋_GB2312" w:eastAsia="仿宋_GB2312"/>
          <w:sz w:val="32"/>
          <w:szCs w:val="32"/>
        </w:rPr>
        <w:t>1、因公出国（境）费决算数为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%。2020年使用财政拨款安排</w:t>
      </w:r>
      <w:r>
        <w:rPr>
          <w:rFonts w:hint="eastAsia" w:ascii="仿宋_GB2312" w:eastAsia="仿宋_GB2312"/>
          <w:sz w:val="32"/>
          <w:szCs w:val="32"/>
          <w:lang w:eastAsia="zh-CN"/>
        </w:rPr>
        <w:t>济宁市人民政府外事办公室</w:t>
      </w:r>
      <w:r>
        <w:rPr>
          <w:rFonts w:hint="eastAsia" w:ascii="仿宋_GB2312" w:eastAsia="仿宋_GB2312"/>
          <w:sz w:val="32"/>
          <w:szCs w:val="32"/>
          <w:lang w:val="en-US" w:eastAsia="zh-CN"/>
        </w:rPr>
        <w:t>1个</w:t>
      </w:r>
      <w:r>
        <w:rPr>
          <w:rFonts w:hint="eastAsia" w:ascii="仿宋_GB2312" w:eastAsia="仿宋_GB2312"/>
          <w:sz w:val="32"/>
          <w:szCs w:val="32"/>
        </w:rPr>
        <w:t>单位，因公出国（境）团组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2、公务用车购置及运行维护费决算数为</w:t>
      </w:r>
      <w:r>
        <w:rPr>
          <w:rFonts w:hint="eastAsia" w:ascii="仿宋_GB2312" w:eastAsia="仿宋_GB2312"/>
          <w:sz w:val="32"/>
          <w:szCs w:val="32"/>
          <w:lang w:val="en-US" w:eastAsia="zh-CN"/>
        </w:rPr>
        <w:t>0</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0</w:t>
      </w:r>
      <w:r>
        <w:rPr>
          <w:rFonts w:hint="eastAsia" w:ascii="仿宋_GB2312" w:eastAsia="仿宋_GB2312"/>
          <w:sz w:val="32"/>
          <w:szCs w:val="32"/>
        </w:rPr>
        <w:t>%。其中：公务用车购置费支出</w:t>
      </w:r>
      <w:r>
        <w:rPr>
          <w:rFonts w:hint="eastAsia" w:ascii="仿宋_GB2312" w:eastAsia="仿宋_GB2312"/>
          <w:sz w:val="32"/>
          <w:szCs w:val="32"/>
          <w:lang w:val="en-US" w:eastAsia="zh-CN"/>
        </w:rPr>
        <w:t>0</w:t>
      </w:r>
      <w:r>
        <w:rPr>
          <w:rFonts w:hint="eastAsia" w:ascii="仿宋_GB2312" w:eastAsia="仿宋_GB2312"/>
          <w:sz w:val="32"/>
          <w:szCs w:val="32"/>
        </w:rPr>
        <w:t>万元，2020年使用财政拨款购置公务用车</w:t>
      </w:r>
      <w:r>
        <w:rPr>
          <w:rFonts w:hint="eastAsia" w:ascii="仿宋_GB2312" w:eastAsia="仿宋_GB2312"/>
          <w:sz w:val="32"/>
          <w:szCs w:val="32"/>
          <w:lang w:val="en-US" w:eastAsia="zh-CN"/>
        </w:rPr>
        <w:t>0</w:t>
      </w:r>
      <w:r>
        <w:rPr>
          <w:rFonts w:hint="eastAsia" w:ascii="仿宋_GB2312" w:eastAsia="仿宋_GB2312"/>
          <w:sz w:val="32"/>
          <w:szCs w:val="32"/>
        </w:rPr>
        <w:t>辆；公务用车运行维护费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万元。2020年财政拨款开支运行维护费的公务用车保有量为</w:t>
      </w:r>
      <w:r>
        <w:rPr>
          <w:rFonts w:hint="eastAsia" w:ascii="仿宋_GB2312" w:eastAsia="仿宋_GB2312"/>
          <w:sz w:val="32"/>
          <w:szCs w:val="32"/>
          <w:lang w:val="en-US" w:eastAsia="zh-CN"/>
        </w:rPr>
        <w:t>0</w:t>
      </w:r>
      <w:r>
        <w:rPr>
          <w:rFonts w:hint="eastAsia" w:ascii="仿宋_GB2312" w:eastAsia="仿宋_GB2312"/>
          <w:sz w:val="32"/>
          <w:szCs w:val="32"/>
        </w:rPr>
        <w:t>辆。</w:t>
      </w:r>
    </w:p>
    <w:p>
      <w:pPr>
        <w:ind w:firstLine="640" w:firstLineChars="200"/>
        <w:rPr>
          <w:rFonts w:hint="eastAsia" w:ascii="仿宋_GB2312" w:eastAsia="仿宋_GB2312"/>
          <w:sz w:val="32"/>
          <w:szCs w:val="32"/>
        </w:rPr>
      </w:pPr>
      <w:r>
        <w:rPr>
          <w:rFonts w:hint="eastAsia" w:ascii="仿宋_GB2312" w:eastAsia="仿宋_GB2312"/>
          <w:sz w:val="32"/>
          <w:szCs w:val="32"/>
        </w:rPr>
        <w:t>3、公务接待费决算数为</w:t>
      </w:r>
      <w:r>
        <w:rPr>
          <w:rFonts w:hint="eastAsia" w:ascii="仿宋_GB2312" w:eastAsia="仿宋_GB2312"/>
          <w:sz w:val="32"/>
          <w:szCs w:val="32"/>
          <w:lang w:val="en-US" w:eastAsia="zh-CN"/>
        </w:rPr>
        <w:t>3.61</w:t>
      </w:r>
      <w:r>
        <w:rPr>
          <w:rFonts w:hint="eastAsia" w:ascii="仿宋_GB2312" w:eastAsia="仿宋_GB2312"/>
          <w:sz w:val="32"/>
          <w:szCs w:val="32"/>
        </w:rPr>
        <w:t>万元，占一般公共预算财政拨款“三公”经费总数的</w:t>
      </w:r>
      <w:r>
        <w:rPr>
          <w:rFonts w:hint="eastAsia" w:ascii="仿宋_GB2312" w:eastAsia="仿宋_GB2312"/>
          <w:sz w:val="32"/>
          <w:szCs w:val="32"/>
          <w:lang w:val="en-US" w:eastAsia="zh-CN"/>
        </w:rPr>
        <w:t>10.63</w:t>
      </w:r>
      <w:r>
        <w:rPr>
          <w:rFonts w:hint="eastAsia" w:ascii="仿宋_GB2312" w:eastAsia="仿宋_GB2312"/>
          <w:sz w:val="32"/>
          <w:szCs w:val="32"/>
        </w:rPr>
        <w:t>%。其中：国内接待费</w:t>
      </w:r>
      <w:r>
        <w:rPr>
          <w:rFonts w:hint="eastAsia" w:ascii="仿宋_GB2312" w:eastAsia="仿宋_GB2312"/>
          <w:sz w:val="32"/>
          <w:szCs w:val="32"/>
          <w:lang w:val="en-US" w:eastAsia="zh-CN"/>
        </w:rPr>
        <w:t>3.61</w:t>
      </w:r>
      <w:r>
        <w:rPr>
          <w:rFonts w:hint="eastAsia" w:ascii="仿宋_GB2312" w:eastAsia="仿宋_GB2312"/>
          <w:sz w:val="32"/>
          <w:szCs w:val="32"/>
        </w:rPr>
        <w:t>万元，主要用于</w:t>
      </w:r>
      <w:r>
        <w:rPr>
          <w:rFonts w:hint="eastAsia" w:ascii="仿宋_GB2312" w:eastAsia="仿宋_GB2312"/>
          <w:sz w:val="32"/>
          <w:szCs w:val="32"/>
          <w:lang w:eastAsia="zh-CN"/>
        </w:rPr>
        <w:t>接待省外办及韩国CJ集团中国总部副总裁高熙锡一行</w:t>
      </w:r>
      <w:r>
        <w:rPr>
          <w:rFonts w:hint="eastAsia" w:ascii="仿宋_GB2312" w:eastAsia="仿宋_GB2312"/>
          <w:sz w:val="32"/>
          <w:szCs w:val="32"/>
        </w:rPr>
        <w:t>，共计接待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100</w:t>
      </w:r>
      <w:r>
        <w:rPr>
          <w:rFonts w:hint="eastAsia" w:ascii="仿宋_GB2312" w:eastAsia="仿宋_GB2312"/>
          <w:sz w:val="32"/>
          <w:szCs w:val="32"/>
        </w:rPr>
        <w:t>人次（含外事接待</w:t>
      </w:r>
      <w:r>
        <w:rPr>
          <w:rFonts w:hint="eastAsia" w:ascii="仿宋_GB2312" w:eastAsia="仿宋_GB2312"/>
          <w:sz w:val="32"/>
          <w:szCs w:val="32"/>
          <w:lang w:val="en-US" w:eastAsia="zh-CN"/>
        </w:rPr>
        <w:t>1</w:t>
      </w:r>
      <w:r>
        <w:rPr>
          <w:rFonts w:hint="eastAsia" w:ascii="仿宋_GB2312" w:eastAsia="仿宋_GB2312"/>
          <w:sz w:val="32"/>
          <w:szCs w:val="32"/>
        </w:rPr>
        <w:t>批次、</w:t>
      </w:r>
      <w:r>
        <w:rPr>
          <w:rFonts w:hint="eastAsia" w:ascii="仿宋_GB2312" w:eastAsia="仿宋_GB2312"/>
          <w:sz w:val="32"/>
          <w:szCs w:val="32"/>
          <w:lang w:val="en-US" w:eastAsia="zh-CN"/>
        </w:rPr>
        <w:t>2</w:t>
      </w:r>
      <w:r>
        <w:rPr>
          <w:rFonts w:hint="eastAsia" w:ascii="仿宋_GB2312" w:eastAsia="仿宋_GB2312"/>
          <w:sz w:val="32"/>
          <w:szCs w:val="32"/>
        </w:rPr>
        <w:t>人次）；国（境）外接待费</w:t>
      </w:r>
      <w:r>
        <w:rPr>
          <w:rFonts w:hint="eastAsia" w:ascii="仿宋_GB2312" w:eastAsia="仿宋_GB2312"/>
          <w:sz w:val="32"/>
          <w:szCs w:val="32"/>
          <w:lang w:val="en-US" w:eastAsia="zh-CN"/>
        </w:rPr>
        <w:t>0</w:t>
      </w:r>
      <w:r>
        <w:rPr>
          <w:rFonts w:hint="eastAsia" w:ascii="仿宋_GB2312" w:eastAsia="仿宋_GB2312"/>
          <w:sz w:val="32"/>
          <w:szCs w:val="32"/>
        </w:rPr>
        <w:t>万元，共计接待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ind w:firstLine="640" w:firstLineChars="200"/>
        <w:rPr>
          <w:rFonts w:ascii="黑体" w:hAnsi="黑体" w:eastAsia="黑体"/>
          <w:sz w:val="32"/>
          <w:szCs w:val="32"/>
        </w:rPr>
      </w:pPr>
      <w:r>
        <w:rPr>
          <w:rFonts w:hint="eastAsia" w:ascii="黑体" w:hAnsi="黑体" w:eastAsia="黑体"/>
          <w:sz w:val="32"/>
          <w:szCs w:val="32"/>
        </w:rPr>
        <w:t>八、政府性基金预算财政拨款收入支出决算情况说明</w:t>
      </w:r>
    </w:p>
    <w:p>
      <w:pPr>
        <w:ind w:firstLine="640" w:firstLineChars="200"/>
        <w:rPr>
          <w:rFonts w:hint="eastAsia" w:ascii="黑体" w:hAnsi="黑体" w:eastAsia="黑体"/>
          <w:sz w:val="32"/>
          <w:szCs w:val="32"/>
        </w:rPr>
      </w:pPr>
      <w:r>
        <w:rPr>
          <w:rFonts w:hint="eastAsia" w:ascii="仿宋_GB2312" w:eastAsia="仿宋_GB2312"/>
          <w:sz w:val="32"/>
          <w:szCs w:val="32"/>
          <w:lang w:eastAsia="zh-CN"/>
        </w:rPr>
        <w:t>本部门没有政府性基金财政拨款收支。</w:t>
      </w:r>
    </w:p>
    <w:p>
      <w:pPr>
        <w:ind w:firstLine="640" w:firstLineChars="200"/>
        <w:rPr>
          <w:rFonts w:ascii="黑体" w:hAnsi="黑体" w:eastAsia="黑体"/>
          <w:sz w:val="32"/>
          <w:szCs w:val="32"/>
        </w:rPr>
      </w:pPr>
      <w:r>
        <w:rPr>
          <w:rFonts w:hint="eastAsia" w:ascii="黑体" w:hAnsi="黑体" w:eastAsia="黑体"/>
          <w:sz w:val="32"/>
          <w:szCs w:val="32"/>
        </w:rPr>
        <w:t>九、国有资本经营预算财政拨款收入支出决算情况说明</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本部门没有国有资本经营预算财政拨款收支。</w:t>
      </w:r>
    </w:p>
    <w:p>
      <w:pPr>
        <w:ind w:firstLine="640" w:firstLineChars="200"/>
        <w:rPr>
          <w:rFonts w:ascii="黑体" w:hAnsi="黑体" w:eastAsia="黑体"/>
          <w:sz w:val="32"/>
          <w:szCs w:val="32"/>
        </w:rPr>
      </w:pPr>
      <w:r>
        <w:rPr>
          <w:rFonts w:hint="eastAsia" w:ascii="黑体" w:hAnsi="黑体" w:eastAsia="黑体"/>
          <w:sz w:val="32"/>
          <w:szCs w:val="32"/>
        </w:rPr>
        <w:t>十、重要事项情况说明</w:t>
      </w:r>
    </w:p>
    <w:p>
      <w:pPr>
        <w:ind w:firstLine="640" w:firstLineChars="200"/>
        <w:rPr>
          <w:rFonts w:ascii="楷体_GB2312" w:eastAsia="楷体_GB2312"/>
          <w:sz w:val="32"/>
          <w:szCs w:val="32"/>
        </w:rPr>
      </w:pPr>
      <w:r>
        <w:rPr>
          <w:rFonts w:hint="eastAsia" w:ascii="楷体_GB2312" w:eastAsia="楷体_GB2312"/>
          <w:sz w:val="32"/>
          <w:szCs w:val="32"/>
        </w:rPr>
        <w:t>（一）机关运行经费支出情况</w:t>
      </w:r>
    </w:p>
    <w:p>
      <w:pPr>
        <w:ind w:firstLine="640" w:firstLineChars="200"/>
        <w:rPr>
          <w:rFonts w:ascii="仿宋_GB2312" w:eastAsia="仿宋_GB2312"/>
          <w:b/>
          <w:sz w:val="32"/>
          <w:szCs w:val="32"/>
        </w:rPr>
      </w:pPr>
      <w:r>
        <w:rPr>
          <w:rFonts w:hint="eastAsia" w:ascii="仿宋_GB2312" w:eastAsia="仿宋_GB2312"/>
          <w:sz w:val="32"/>
          <w:szCs w:val="32"/>
        </w:rPr>
        <w:t>2020年度机关运行经费支出</w:t>
      </w:r>
      <w:r>
        <w:rPr>
          <w:rFonts w:hint="eastAsia" w:ascii="仿宋_GB2312" w:eastAsia="仿宋_GB2312"/>
          <w:sz w:val="32"/>
          <w:szCs w:val="32"/>
          <w:lang w:val="en-US" w:eastAsia="zh-CN"/>
        </w:rPr>
        <w:t>36.17</w:t>
      </w:r>
      <w:r>
        <w:rPr>
          <w:rFonts w:hint="eastAsia" w:ascii="仿宋_GB2312" w:eastAsia="仿宋_GB2312"/>
          <w:sz w:val="32"/>
          <w:szCs w:val="32"/>
        </w:rPr>
        <w:t>万元，比年初预算数增加</w:t>
      </w:r>
      <w:r>
        <w:rPr>
          <w:rFonts w:hint="eastAsia" w:ascii="仿宋_GB2312" w:eastAsia="仿宋_GB2312"/>
          <w:sz w:val="32"/>
          <w:szCs w:val="32"/>
          <w:lang w:val="en-US" w:eastAsia="zh-CN"/>
        </w:rPr>
        <w:t>4.94</w:t>
      </w:r>
      <w:r>
        <w:rPr>
          <w:rFonts w:hint="eastAsia" w:ascii="仿宋_GB2312" w:eastAsia="仿宋_GB2312"/>
          <w:sz w:val="32"/>
          <w:szCs w:val="32"/>
        </w:rPr>
        <w:t>万元，增长</w:t>
      </w:r>
      <w:r>
        <w:rPr>
          <w:rFonts w:hint="eastAsia" w:ascii="仿宋_GB2312" w:eastAsia="仿宋_GB2312"/>
          <w:sz w:val="32"/>
          <w:szCs w:val="32"/>
          <w:lang w:val="en-US" w:eastAsia="zh-CN"/>
        </w:rPr>
        <w:t>15.81</w:t>
      </w:r>
      <w:r>
        <w:rPr>
          <w:rFonts w:hint="eastAsia" w:ascii="仿宋_GB2312" w:eastAsia="仿宋_GB2312"/>
          <w:sz w:val="32"/>
          <w:szCs w:val="32"/>
        </w:rPr>
        <w:t>%，主要原因是</w:t>
      </w:r>
      <w:r>
        <w:rPr>
          <w:rFonts w:hint="eastAsia" w:ascii="仿宋_GB2312" w:eastAsia="仿宋_GB2312"/>
          <w:sz w:val="32"/>
          <w:szCs w:val="32"/>
          <w:lang w:eastAsia="zh-CN"/>
        </w:rPr>
        <w:t>包村人员补助增加</w:t>
      </w:r>
      <w:r>
        <w:rPr>
          <w:rFonts w:hint="eastAsia" w:ascii="仿宋_GB2312" w:eastAsia="仿宋_GB2312"/>
          <w:sz w:val="32"/>
          <w:szCs w:val="32"/>
        </w:rPr>
        <w:t>。</w:t>
      </w:r>
    </w:p>
    <w:p>
      <w:pPr>
        <w:ind w:firstLine="640" w:firstLineChars="200"/>
        <w:rPr>
          <w:rFonts w:ascii="楷体_GB2312" w:eastAsia="楷体_GB2312"/>
          <w:sz w:val="32"/>
          <w:szCs w:val="32"/>
        </w:rPr>
      </w:pPr>
      <w:r>
        <w:rPr>
          <w:rFonts w:hint="eastAsia" w:ascii="楷体_GB2312" w:eastAsia="楷体_GB2312"/>
          <w:sz w:val="32"/>
          <w:szCs w:val="32"/>
        </w:rPr>
        <w:t>（二）政府采购支出情况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2020年度政府采购支出总额</w:t>
      </w:r>
      <w:r>
        <w:rPr>
          <w:rFonts w:hint="eastAsia" w:ascii="仿宋_GB2312" w:hAnsi="宋体" w:eastAsia="仿宋_GB2312" w:cs="Courier New"/>
          <w:sz w:val="32"/>
          <w:szCs w:val="32"/>
          <w:lang w:val="en-US" w:eastAsia="zh-CN"/>
        </w:rPr>
        <w:t>41.6</w:t>
      </w:r>
      <w:r>
        <w:rPr>
          <w:rFonts w:hint="eastAsia" w:ascii="仿宋_GB2312" w:hAnsi="宋体" w:eastAsia="仿宋_GB2312" w:cs="Courier New"/>
          <w:sz w:val="32"/>
          <w:szCs w:val="32"/>
        </w:rPr>
        <w:t>万元，其中：政府采购货物支出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万元、政府采购工程支出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万元、政府采购服务支出</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、政府采购无形资产</w:t>
      </w:r>
      <w:r>
        <w:rPr>
          <w:rFonts w:hint="eastAsia" w:ascii="仿宋_GB2312" w:hAnsi="宋体" w:eastAsia="仿宋_GB2312" w:cs="Courier New"/>
          <w:sz w:val="32"/>
          <w:szCs w:val="32"/>
          <w:lang w:val="en-US" w:eastAsia="zh-CN"/>
        </w:rPr>
        <w:t>41.6</w:t>
      </w:r>
      <w:r>
        <w:rPr>
          <w:rFonts w:hint="eastAsia" w:ascii="仿宋_GB2312" w:hAnsi="宋体" w:eastAsia="仿宋_GB2312" w:cs="Courier New"/>
          <w:sz w:val="32"/>
          <w:szCs w:val="32"/>
        </w:rPr>
        <w:t>万元。授予中小企业合同金额</w:t>
      </w:r>
      <w:r>
        <w:rPr>
          <w:rFonts w:hint="eastAsia" w:ascii="仿宋_GB2312" w:hAnsi="宋体" w:eastAsia="仿宋_GB2312" w:cs="Courier New"/>
          <w:sz w:val="32"/>
          <w:szCs w:val="32"/>
          <w:lang w:val="en-US" w:eastAsia="zh-CN"/>
        </w:rPr>
        <w:t>41.6</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%，其中：授予小微企业合同金额</w:t>
      </w:r>
      <w:r>
        <w:rPr>
          <w:rFonts w:hint="eastAsia" w:ascii="仿宋_GB2312" w:hAnsi="宋体" w:eastAsia="仿宋_GB2312" w:cs="Courier New"/>
          <w:sz w:val="32"/>
          <w:szCs w:val="32"/>
          <w:lang w:val="en-US" w:eastAsia="zh-CN"/>
        </w:rPr>
        <w:t>41.6</w:t>
      </w:r>
      <w:r>
        <w:rPr>
          <w:rFonts w:hint="eastAsia" w:ascii="仿宋_GB2312" w:hAnsi="宋体" w:eastAsia="仿宋_GB2312" w:cs="Courier New"/>
          <w:sz w:val="32"/>
          <w:szCs w:val="32"/>
        </w:rPr>
        <w:t>万元，占政府采购支出总额的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ind w:firstLine="640" w:firstLineChars="200"/>
        <w:rPr>
          <w:rFonts w:ascii="楷体_GB2312" w:eastAsia="楷体_GB2312"/>
          <w:sz w:val="32"/>
          <w:szCs w:val="32"/>
          <w:highlight w:val="yellow"/>
        </w:rPr>
      </w:pPr>
      <w:r>
        <w:rPr>
          <w:rFonts w:hint="eastAsia" w:ascii="楷体_GB2312" w:eastAsia="楷体_GB2312"/>
          <w:sz w:val="32"/>
          <w:szCs w:val="32"/>
        </w:rPr>
        <w:t>（三）国有资产占用情况</w:t>
      </w:r>
    </w:p>
    <w:p>
      <w:pPr>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截至2020年</w:t>
      </w:r>
      <w:r>
        <w:rPr>
          <w:rFonts w:ascii="仿宋_GB2312" w:hAnsi="宋体" w:eastAsia="仿宋_GB2312" w:cs="Courier New"/>
          <w:sz w:val="32"/>
          <w:szCs w:val="32"/>
        </w:rPr>
        <w:t>12</w:t>
      </w:r>
      <w:r>
        <w:rPr>
          <w:rFonts w:hint="eastAsia" w:ascii="仿宋_GB2312" w:hAnsi="宋体" w:eastAsia="仿宋_GB2312" w:cs="Courier New"/>
          <w:sz w:val="32"/>
          <w:szCs w:val="32"/>
        </w:rPr>
        <w:t>月</w:t>
      </w:r>
      <w:r>
        <w:rPr>
          <w:rFonts w:ascii="仿宋_GB2312" w:hAnsi="宋体" w:eastAsia="仿宋_GB2312" w:cs="Courier New"/>
          <w:sz w:val="32"/>
          <w:szCs w:val="32"/>
        </w:rPr>
        <w:t>31</w:t>
      </w:r>
      <w:r>
        <w:rPr>
          <w:rFonts w:hint="eastAsia" w:ascii="仿宋_GB2312" w:hAnsi="宋体" w:eastAsia="仿宋_GB2312" w:cs="Courier New"/>
          <w:sz w:val="32"/>
          <w:szCs w:val="32"/>
        </w:rPr>
        <w:t>日，部门（单位）共有车辆</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辆，其中，符合规定的领导干部用车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辆、机要通信用车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辆、应急保障用车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辆、执法执勤用车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辆、特种专业技术用车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辆、其他用车</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辆；单位价值</w:t>
      </w:r>
      <w:r>
        <w:rPr>
          <w:rFonts w:ascii="仿宋_GB2312" w:hAnsi="宋体" w:eastAsia="仿宋_GB2312" w:cs="Courier New"/>
          <w:sz w:val="32"/>
          <w:szCs w:val="32"/>
        </w:rPr>
        <w:t>50</w:t>
      </w:r>
      <w:r>
        <w:rPr>
          <w:rFonts w:hint="eastAsia" w:ascii="仿宋_GB2312" w:hAnsi="宋体" w:eastAsia="仿宋_GB2312" w:cs="Courier New"/>
          <w:sz w:val="32"/>
          <w:szCs w:val="32"/>
        </w:rPr>
        <w:t>万元以上通用设备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台（套）；单位价值</w:t>
      </w:r>
      <w:r>
        <w:rPr>
          <w:rFonts w:ascii="仿宋_GB2312" w:hAnsi="宋体" w:eastAsia="仿宋_GB2312" w:cs="Courier New"/>
          <w:sz w:val="32"/>
          <w:szCs w:val="32"/>
        </w:rPr>
        <w:t>100</w:t>
      </w:r>
      <w:r>
        <w:rPr>
          <w:rFonts w:hint="eastAsia" w:ascii="仿宋_GB2312" w:hAnsi="宋体" w:eastAsia="仿宋_GB2312" w:cs="Courier New"/>
          <w:sz w:val="32"/>
          <w:szCs w:val="32"/>
        </w:rPr>
        <w:t>万元以上专用设备</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ind w:firstLine="640" w:firstLineChars="200"/>
        <w:rPr>
          <w:rFonts w:ascii="楷体_GB2312" w:eastAsia="楷体_GB2312"/>
          <w:sz w:val="32"/>
          <w:szCs w:val="32"/>
        </w:rPr>
      </w:pPr>
      <w:r>
        <w:rPr>
          <w:rFonts w:hint="eastAsia" w:ascii="楷体_GB2312" w:eastAsia="楷体_GB2312"/>
          <w:sz w:val="32"/>
          <w:szCs w:val="32"/>
        </w:rPr>
        <w:t>（四）预算绩效情况</w:t>
      </w:r>
    </w:p>
    <w:p>
      <w:pPr>
        <w:widowControl/>
        <w:spacing w:line="580" w:lineRule="exact"/>
        <w:ind w:firstLine="540"/>
        <w:rPr>
          <w:rFonts w:ascii="仿宋_GB2312" w:eastAsia="仿宋_GB2312"/>
          <w:kern w:val="0"/>
          <w:sz w:val="32"/>
          <w:szCs w:val="32"/>
        </w:rPr>
      </w:pPr>
      <w:r>
        <w:rPr>
          <w:rFonts w:hint="eastAsia" w:ascii="仿宋_GB2312" w:eastAsia="仿宋_GB2312"/>
          <w:b/>
          <w:bCs/>
          <w:kern w:val="0"/>
          <w:sz w:val="32"/>
          <w:szCs w:val="32"/>
        </w:rPr>
        <w:t>1、预算绩效管理工作开展情况。</w:t>
      </w:r>
      <w:r>
        <w:rPr>
          <w:rFonts w:hint="eastAsia" w:ascii="仿宋_GB2312" w:eastAsia="仿宋_GB2312"/>
          <w:kern w:val="0"/>
          <w:sz w:val="32"/>
          <w:szCs w:val="32"/>
        </w:rPr>
        <w:t>根据预算绩效管理要求，</w:t>
      </w:r>
      <w:r>
        <w:rPr>
          <w:rFonts w:hint="eastAsia" w:ascii="仿宋_GB2312" w:eastAsia="仿宋_GB2312"/>
          <w:kern w:val="0"/>
          <w:sz w:val="32"/>
          <w:szCs w:val="32"/>
          <w:lang w:eastAsia="zh-CN"/>
        </w:rPr>
        <w:t>市外办</w:t>
      </w:r>
      <w:r>
        <w:rPr>
          <w:rFonts w:hint="eastAsia" w:ascii="仿宋_GB2312" w:eastAsia="仿宋_GB2312"/>
          <w:kern w:val="0"/>
          <w:sz w:val="32"/>
          <w:szCs w:val="32"/>
        </w:rPr>
        <w:t>按照“谁用款、谁评价”的原则，组织对</w:t>
      </w:r>
      <w:r>
        <w:rPr>
          <w:rFonts w:hint="eastAsia" w:ascii="仿宋_GB2312" w:eastAsia="仿宋_GB2312"/>
          <w:kern w:val="0"/>
          <w:sz w:val="32"/>
          <w:szCs w:val="32"/>
          <w:lang w:eastAsia="zh-CN"/>
        </w:rPr>
        <w:t>办</w:t>
      </w:r>
      <w:r>
        <w:rPr>
          <w:rFonts w:hint="eastAsia" w:ascii="仿宋_GB2312" w:eastAsia="仿宋_GB2312"/>
          <w:kern w:val="0"/>
          <w:sz w:val="32"/>
          <w:szCs w:val="32"/>
        </w:rPr>
        <w:t>机关及所属单位，对2020年度市级部门预算项目进行全面自评，涵盖项目</w:t>
      </w:r>
      <w:r>
        <w:rPr>
          <w:rFonts w:hint="eastAsia" w:ascii="仿宋_GB2312" w:eastAsia="仿宋_GB2312"/>
          <w:kern w:val="0"/>
          <w:sz w:val="32"/>
          <w:szCs w:val="32"/>
          <w:lang w:val="en-US" w:eastAsia="zh-CN"/>
        </w:rPr>
        <w:t>2</w:t>
      </w:r>
      <w:r>
        <w:rPr>
          <w:rFonts w:hint="eastAsia" w:ascii="仿宋_GB2312" w:eastAsia="仿宋_GB2312"/>
          <w:kern w:val="0"/>
          <w:sz w:val="32"/>
          <w:szCs w:val="32"/>
        </w:rPr>
        <w:t>个，涉及预算资金</w:t>
      </w:r>
      <w:r>
        <w:rPr>
          <w:rFonts w:hint="eastAsia" w:ascii="仿宋_GB2312" w:eastAsia="仿宋_GB2312"/>
          <w:kern w:val="0"/>
          <w:sz w:val="32"/>
          <w:szCs w:val="32"/>
          <w:lang w:val="en-US" w:eastAsia="zh-CN"/>
        </w:rPr>
        <w:t>136.24</w:t>
      </w:r>
      <w:r>
        <w:rPr>
          <w:rFonts w:hint="eastAsia" w:ascii="仿宋_GB2312" w:eastAsia="仿宋_GB2312"/>
          <w:kern w:val="0"/>
          <w:sz w:val="32"/>
          <w:szCs w:val="32"/>
        </w:rPr>
        <w:t>万元，占部门预算项目支出总额的</w:t>
      </w:r>
      <w:r>
        <w:rPr>
          <w:rFonts w:hint="eastAsia" w:ascii="仿宋_GB2312" w:eastAsia="仿宋_GB2312"/>
          <w:kern w:val="0"/>
          <w:sz w:val="32"/>
          <w:szCs w:val="32"/>
          <w:lang w:val="en-US" w:eastAsia="zh-CN"/>
        </w:rPr>
        <w:t>24.43</w:t>
      </w:r>
      <w:r>
        <w:rPr>
          <w:rFonts w:hint="eastAsia" w:ascii="仿宋_GB2312" w:eastAsia="仿宋_GB2312"/>
          <w:kern w:val="0"/>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组织对外事工作与友城交流</w:t>
      </w:r>
      <w:r>
        <w:rPr>
          <w:rFonts w:hint="eastAsia" w:ascii="仿宋_GB2312" w:eastAsia="仿宋_GB2312"/>
          <w:sz w:val="32"/>
          <w:szCs w:val="32"/>
          <w:lang w:eastAsia="zh-CN"/>
        </w:rPr>
        <w:t>、济宁市外事数据资源共享系统</w:t>
      </w:r>
      <w:r>
        <w:rPr>
          <w:rFonts w:hint="eastAsia" w:ascii="仿宋_GB2312" w:eastAsia="仿宋_GB2312"/>
          <w:sz w:val="32"/>
          <w:szCs w:val="32"/>
        </w:rPr>
        <w:t>等</w:t>
      </w:r>
      <w:r>
        <w:rPr>
          <w:rFonts w:hint="eastAsia" w:ascii="仿宋_GB2312" w:eastAsia="仿宋_GB2312"/>
          <w:sz w:val="32"/>
          <w:szCs w:val="32"/>
          <w:lang w:val="en-US" w:eastAsia="zh-CN"/>
        </w:rPr>
        <w:t>2</w:t>
      </w:r>
      <w:r>
        <w:rPr>
          <w:rFonts w:hint="eastAsia" w:ascii="仿宋_GB2312" w:eastAsia="仿宋_GB2312"/>
          <w:sz w:val="32"/>
          <w:szCs w:val="32"/>
        </w:rPr>
        <w:t>个项目开展了部门评价，涉及资金</w:t>
      </w:r>
      <w:r>
        <w:rPr>
          <w:rFonts w:hint="eastAsia" w:ascii="仿宋_GB2312" w:eastAsia="仿宋_GB2312"/>
          <w:sz w:val="32"/>
          <w:szCs w:val="32"/>
          <w:lang w:val="en-US" w:eastAsia="zh-CN"/>
        </w:rPr>
        <w:t>136.24</w:t>
      </w:r>
      <w:r>
        <w:rPr>
          <w:rFonts w:hint="eastAsia" w:ascii="仿宋_GB2312" w:eastAsia="仿宋_GB2312"/>
          <w:sz w:val="32"/>
          <w:szCs w:val="32"/>
        </w:rPr>
        <w:t>万元。从评价情况来看，上述</w:t>
      </w:r>
      <w:r>
        <w:rPr>
          <w:rFonts w:hint="eastAsia" w:ascii="仿宋_GB2312" w:eastAsia="仿宋_GB2312"/>
          <w:sz w:val="32"/>
          <w:szCs w:val="32"/>
          <w:lang w:val="en-US" w:eastAsia="zh-CN"/>
        </w:rPr>
        <w:t>2</w:t>
      </w:r>
      <w:r>
        <w:rPr>
          <w:rFonts w:hint="eastAsia" w:ascii="仿宋_GB2312" w:eastAsia="仿宋_GB2312"/>
          <w:sz w:val="32"/>
          <w:szCs w:val="32"/>
        </w:rPr>
        <w:t>个项目完成情况较好，主要表现为：项目立项程序完整、规范，设置了明确的绩效目标，财务相关管理制度较健全，预算执行及时、有效，群众满意度较高，基本实现了预期。</w:t>
      </w:r>
    </w:p>
    <w:p>
      <w:pPr>
        <w:spacing w:line="600" w:lineRule="exact"/>
        <w:ind w:firstLine="643" w:firstLineChars="200"/>
        <w:rPr>
          <w:rFonts w:ascii="仿宋_GB2312" w:eastAsia="仿宋_GB2312" w:cs="仿宋_GB2312"/>
          <w:sz w:val="32"/>
          <w:szCs w:val="32"/>
        </w:rPr>
      </w:pPr>
      <w:r>
        <w:rPr>
          <w:rFonts w:hint="eastAsia" w:ascii="仿宋_GB2312" w:eastAsia="仿宋_GB2312"/>
          <w:b/>
          <w:bCs/>
          <w:kern w:val="0"/>
          <w:sz w:val="32"/>
          <w:szCs w:val="32"/>
        </w:rPr>
        <w:t>2、部门决算中项目绩效自评结果。</w:t>
      </w:r>
      <w:r>
        <w:rPr>
          <w:rFonts w:hint="eastAsia" w:ascii="仿宋_GB2312" w:eastAsia="仿宋_GB2312"/>
          <w:sz w:val="32"/>
          <w:szCs w:val="32"/>
          <w:lang w:eastAsia="zh-CN"/>
        </w:rPr>
        <w:t>市外办</w:t>
      </w:r>
      <w:r>
        <w:rPr>
          <w:rFonts w:hint="eastAsia" w:ascii="仿宋_GB2312" w:eastAsia="仿宋_GB2312"/>
          <w:sz w:val="32"/>
          <w:szCs w:val="32"/>
        </w:rPr>
        <w:t>2020年度市级部门预算项目绩效自评的</w:t>
      </w:r>
      <w:r>
        <w:rPr>
          <w:rFonts w:hint="eastAsia" w:ascii="仿宋_GB2312" w:eastAsia="仿宋_GB2312"/>
          <w:sz w:val="32"/>
          <w:szCs w:val="32"/>
          <w:lang w:val="en-US" w:eastAsia="zh-CN"/>
        </w:rPr>
        <w:t>2</w:t>
      </w:r>
      <w:r>
        <w:rPr>
          <w:rFonts w:hint="eastAsia" w:ascii="仿宋_GB2312" w:eastAsia="仿宋_GB2312"/>
          <w:sz w:val="32"/>
          <w:szCs w:val="32"/>
        </w:rPr>
        <w:t>个项目中，有</w:t>
      </w:r>
      <w:r>
        <w:rPr>
          <w:rFonts w:hint="eastAsia" w:ascii="仿宋_GB2312" w:eastAsia="仿宋_GB2312"/>
          <w:sz w:val="32"/>
          <w:szCs w:val="32"/>
          <w:lang w:val="en-US" w:eastAsia="zh-CN"/>
        </w:rPr>
        <w:t>2</w:t>
      </w:r>
      <w:r>
        <w:rPr>
          <w:rFonts w:hint="eastAsia" w:ascii="仿宋_GB2312" w:eastAsia="仿宋_GB2312"/>
          <w:sz w:val="32"/>
          <w:szCs w:val="32"/>
        </w:rPr>
        <w:t>个项目自评等级为优，</w:t>
      </w:r>
      <w:r>
        <w:rPr>
          <w:rFonts w:hint="eastAsia" w:ascii="仿宋_GB2312" w:eastAsia="仿宋_GB2312"/>
          <w:sz w:val="32"/>
          <w:szCs w:val="32"/>
          <w:lang w:val="en-US" w:eastAsia="zh-CN"/>
        </w:rPr>
        <w:t>0</w:t>
      </w:r>
      <w:r>
        <w:rPr>
          <w:rFonts w:hint="eastAsia" w:ascii="仿宋_GB2312" w:eastAsia="仿宋_GB2312"/>
          <w:sz w:val="32"/>
          <w:szCs w:val="32"/>
        </w:rPr>
        <w:t>个项目自评等级为良，</w:t>
      </w:r>
      <w:r>
        <w:rPr>
          <w:rFonts w:hint="eastAsia" w:ascii="仿宋_GB2312" w:eastAsia="仿宋_GB2312"/>
          <w:sz w:val="32"/>
          <w:szCs w:val="32"/>
          <w:lang w:val="en-US" w:eastAsia="zh-CN"/>
        </w:rPr>
        <w:t>0</w:t>
      </w:r>
      <w:r>
        <w:rPr>
          <w:rFonts w:hint="eastAsia" w:ascii="仿宋_GB2312" w:eastAsia="仿宋_GB2312"/>
          <w:sz w:val="32"/>
          <w:szCs w:val="32"/>
        </w:rPr>
        <w:t>个项目自评等级为中。</w:t>
      </w:r>
      <w:r>
        <w:rPr>
          <w:rFonts w:hint="eastAsia" w:ascii="仿宋_GB2312" w:eastAsia="仿宋_GB2312" w:cs="仿宋_GB2312"/>
          <w:sz w:val="32"/>
          <w:szCs w:val="32"/>
        </w:rPr>
        <w:t>从自评情况看，项目支出绩效管理的重视程度进一步提升，大部分项目有序开展，执行和完成情况较好，资金使用比较规范，但也存在部分项目产出指标低于预期、项目实施进展慢等问题。</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今年在部门决算中反映了2020年度</w:t>
      </w:r>
      <w:r>
        <w:rPr>
          <w:rFonts w:hint="eastAsia" w:ascii="仿宋_GB2312" w:eastAsia="仿宋_GB2312"/>
          <w:sz w:val="32"/>
          <w:szCs w:val="32"/>
          <w:lang w:eastAsia="zh-CN"/>
        </w:rPr>
        <w:t>市外办</w:t>
      </w:r>
      <w:r>
        <w:rPr>
          <w:rFonts w:hint="eastAsia" w:ascii="仿宋_GB2312" w:eastAsia="仿宋_GB2312"/>
          <w:sz w:val="32"/>
          <w:szCs w:val="32"/>
        </w:rPr>
        <w:t>项目支出绩效自评情况，以及外事工作与友城交流</w:t>
      </w:r>
      <w:r>
        <w:rPr>
          <w:rFonts w:hint="eastAsia" w:ascii="仿宋_GB2312" w:eastAsia="仿宋_GB2312"/>
          <w:sz w:val="32"/>
          <w:szCs w:val="32"/>
          <w:lang w:eastAsia="zh-CN"/>
        </w:rPr>
        <w:t>、济宁市外事数据资源共享系统</w:t>
      </w:r>
      <w:r>
        <w:rPr>
          <w:rFonts w:hint="eastAsia" w:ascii="仿宋_GB2312" w:eastAsia="仿宋_GB2312"/>
          <w:sz w:val="32"/>
          <w:szCs w:val="32"/>
        </w:rPr>
        <w:t>等</w:t>
      </w:r>
      <w:r>
        <w:rPr>
          <w:rFonts w:hint="eastAsia" w:ascii="仿宋_GB2312" w:eastAsia="仿宋_GB2312"/>
          <w:sz w:val="32"/>
          <w:szCs w:val="32"/>
          <w:lang w:val="en-US" w:eastAsia="zh-CN"/>
        </w:rPr>
        <w:t>2</w:t>
      </w:r>
      <w:r>
        <w:rPr>
          <w:rFonts w:hint="eastAsia" w:ascii="仿宋_GB2312" w:eastAsia="仿宋_GB2312"/>
          <w:sz w:val="32"/>
          <w:szCs w:val="32"/>
        </w:rPr>
        <w:t>个项目的绩效自评具体结果。（详见</w:t>
      </w:r>
      <w:r>
        <w:rPr>
          <w:rFonts w:hint="eastAsia" w:ascii="仿宋_GB2312" w:eastAsia="仿宋_GB2312"/>
          <w:kern w:val="0"/>
          <w:sz w:val="32"/>
          <w:szCs w:val="32"/>
        </w:rPr>
        <w:t>“第五部分 附件”</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_GB2312" w:eastAsia="仿宋_GB2312"/>
          <w:b/>
          <w:bCs/>
          <w:kern w:val="0"/>
          <w:sz w:val="32"/>
          <w:szCs w:val="32"/>
        </w:rPr>
        <w:t>3、部门评价项目绩效评价结果</w:t>
      </w:r>
    </w:p>
    <w:p>
      <w:pPr>
        <w:widowControl/>
        <w:spacing w:line="600" w:lineRule="atLeast"/>
        <w:ind w:firstLine="640" w:firstLineChars="200"/>
        <w:rPr>
          <w:rFonts w:ascii="仿宋_GB2312" w:eastAsia="仿宋_GB2312"/>
          <w:b/>
          <w:bCs/>
          <w:kern w:val="0"/>
          <w:sz w:val="32"/>
          <w:szCs w:val="32"/>
        </w:rPr>
      </w:pPr>
      <w:r>
        <w:rPr>
          <w:rFonts w:hint="eastAsia" w:ascii="仿宋_GB2312" w:eastAsia="仿宋_GB2312"/>
          <w:kern w:val="0"/>
          <w:sz w:val="32"/>
          <w:szCs w:val="32"/>
        </w:rPr>
        <w:t>以“济宁市外事数据资源共享系统”项目为例，该项目绩效评价综合得分</w:t>
      </w:r>
      <w:r>
        <w:rPr>
          <w:rFonts w:hint="eastAsia" w:ascii="仿宋_GB2312" w:eastAsia="仿宋_GB2312"/>
          <w:kern w:val="0"/>
          <w:sz w:val="32"/>
          <w:szCs w:val="32"/>
          <w:lang w:val="en-US" w:eastAsia="zh-CN"/>
        </w:rPr>
        <w:t>99.99</w:t>
      </w:r>
      <w:r>
        <w:rPr>
          <w:rFonts w:hint="eastAsia" w:ascii="仿宋_GB2312" w:eastAsia="仿宋_GB2312"/>
          <w:kern w:val="0"/>
          <w:sz w:val="32"/>
          <w:szCs w:val="32"/>
        </w:rPr>
        <w:t>，评价结果为“</w:t>
      </w:r>
      <w:r>
        <w:rPr>
          <w:rFonts w:hint="eastAsia" w:ascii="仿宋_GB2312" w:eastAsia="仿宋_GB2312"/>
          <w:kern w:val="0"/>
          <w:sz w:val="32"/>
          <w:szCs w:val="32"/>
          <w:lang w:eastAsia="zh-CN"/>
        </w:rPr>
        <w:t>优</w:t>
      </w:r>
      <w:r>
        <w:rPr>
          <w:rFonts w:hint="eastAsia" w:ascii="仿宋_GB2312" w:eastAsia="仿宋_GB2312"/>
          <w:kern w:val="0"/>
          <w:sz w:val="32"/>
          <w:szCs w:val="32"/>
        </w:rPr>
        <w:t>”。（绩效评价报告详见“第五部分 附件”）</w:t>
      </w: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rPr>
          <w:rFonts w:ascii="方正小标宋简体" w:eastAsia="方正小标宋简体"/>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第四部分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名词解释</w:t>
      </w:r>
    </w:p>
    <w:p>
      <w:pPr>
        <w:jc w:val="center"/>
        <w:rPr>
          <w:rFonts w:ascii="方正小标宋简体" w:eastAsia="方正小标宋简体"/>
          <w:spacing w:val="60"/>
          <w:sz w:val="48"/>
        </w:rPr>
      </w:pPr>
    </w:p>
    <w:p>
      <w:pPr>
        <w:ind w:firstLine="640" w:firstLineChars="200"/>
        <w:rPr>
          <w:rFonts w:hint="eastAsia" w:ascii="黑体" w:hAnsi="黑体" w:eastAsia="黑体"/>
          <w:color w:val="000000"/>
          <w:sz w:val="32"/>
          <w:szCs w:val="32"/>
        </w:rPr>
      </w:pPr>
    </w:p>
    <w:p>
      <w:pPr>
        <w:ind w:firstLine="640" w:firstLineChars="200"/>
        <w:rPr>
          <w:rFonts w:ascii="仿宋_GB2312"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指单位从同级财政部门取得的财政预算资金。按现行管理制度，市级部门决算中反映的财政拨款包括一般公共预算财政拨款和政府性基金财政拨款。</w:t>
      </w:r>
    </w:p>
    <w:p>
      <w:pPr>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ind w:firstLine="640" w:firstLineChars="2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ind w:firstLine="640" w:firstLineChars="2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ascii="仿宋_GB2312"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ind w:firstLine="640" w:firstLineChars="2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财政拨款结转和结余资金”“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指单位以前年度尚未完成、结转到本年仍按原规定用途继续使用的资金，或项目已完成等产生的结余资金。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九、结余分配：</w:t>
      </w:r>
      <w:r>
        <w:rPr>
          <w:rFonts w:hint="eastAsia" w:ascii="仿宋_GB2312" w:eastAsia="仿宋_GB2312"/>
          <w:sz w:val="32"/>
          <w:szCs w:val="32"/>
        </w:rPr>
        <w:t>指事业单位按照会计制度规定缴纳的所得税以及从非财政拨款结余或经营结余中提取的各类基金。</w:t>
      </w:r>
    </w:p>
    <w:p>
      <w:pPr>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指单位本年度或以前年度预算安排、因客观条件发生变化未全部执行或未执行，结转到以后年度继续使用的资金，或项目已完成等产生的结余资金。</w:t>
      </w:r>
    </w:p>
    <w:p>
      <w:pPr>
        <w:ind w:firstLine="640" w:firstLineChars="2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指单位为保障其机构正常运转、完成日常工作任务而发生的人员支出和日常公用支出。</w:t>
      </w:r>
    </w:p>
    <w:p>
      <w:pPr>
        <w:ind w:firstLine="640" w:firstLineChars="2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ind w:firstLine="640" w:firstLineChars="200"/>
        <w:rPr>
          <w:rFonts w:ascii="仿宋_GB2312" w:eastAsia="仿宋_GB2312"/>
          <w:sz w:val="32"/>
          <w:szCs w:val="32"/>
        </w:rPr>
      </w:pP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指市级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按规定保留的公务用车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sz w:val="32"/>
          <w:szCs w:val="32"/>
          <w:highlight w:val="lightGray"/>
        </w:rPr>
      </w:pPr>
      <w:r>
        <w:rPr>
          <w:rFonts w:hint="eastAsia" w:ascii="黑体" w:hAnsi="黑体" w:eastAsia="黑体"/>
          <w:sz w:val="32"/>
          <w:szCs w:val="32"/>
          <w:highlight w:val="lightGray"/>
        </w:rPr>
        <w:t>十六、一般公共服务支出（类）财政事务（款）行政运行（项）：</w:t>
      </w:r>
      <w:r>
        <w:rPr>
          <w:rFonts w:hint="eastAsia" w:ascii="仿宋_GB2312" w:eastAsia="仿宋_GB2312"/>
          <w:sz w:val="32"/>
          <w:szCs w:val="32"/>
          <w:highlight w:val="lightGray"/>
        </w:rPr>
        <w:t>反映行政单位（包括实行公务员管理的事业单位）的基本支出。</w:t>
      </w:r>
    </w:p>
    <w:p>
      <w:pPr>
        <w:ind w:firstLine="640" w:firstLineChars="200"/>
        <w:rPr>
          <w:rFonts w:ascii="仿宋_GB2312" w:hAnsi="黑体" w:eastAsia="仿宋_GB2312"/>
          <w:sz w:val="32"/>
          <w:szCs w:val="32"/>
          <w:highlight w:val="lightGray"/>
        </w:rPr>
      </w:pPr>
      <w:r>
        <w:rPr>
          <w:rFonts w:hint="eastAsia" w:ascii="黑体" w:hAnsi="黑体" w:eastAsia="黑体"/>
          <w:sz w:val="32"/>
          <w:szCs w:val="32"/>
          <w:highlight w:val="lightGray"/>
        </w:rPr>
        <w:t>十七、一般公共服务支出（类）财政事务（款）一般行政管理事务（项）：</w:t>
      </w:r>
      <w:r>
        <w:rPr>
          <w:rFonts w:hint="eastAsia" w:ascii="仿宋_GB2312" w:eastAsia="仿宋_GB2312"/>
          <w:sz w:val="32"/>
          <w:szCs w:val="32"/>
          <w:highlight w:val="lightGray"/>
        </w:rPr>
        <w:t>反映行政单位（包括实行公务员管理的事业单位）未单独设置项级科目的其他项目支出。</w:t>
      </w:r>
    </w:p>
    <w:p>
      <w:pPr>
        <w:ind w:firstLine="640" w:firstLineChars="200"/>
        <w:rPr>
          <w:rFonts w:ascii="仿宋_GB2312" w:eastAsia="仿宋_GB2312"/>
          <w:sz w:val="32"/>
          <w:szCs w:val="32"/>
          <w:highlight w:val="lightGray"/>
        </w:rPr>
      </w:pPr>
      <w:r>
        <w:rPr>
          <w:rFonts w:hint="eastAsia" w:ascii="黑体" w:hAnsi="黑体" w:eastAsia="黑体"/>
          <w:sz w:val="32"/>
          <w:szCs w:val="32"/>
          <w:highlight w:val="lightGray"/>
        </w:rPr>
        <w:t>十</w:t>
      </w:r>
      <w:r>
        <w:rPr>
          <w:rFonts w:hint="eastAsia" w:ascii="黑体" w:hAnsi="黑体" w:eastAsia="黑体"/>
          <w:sz w:val="32"/>
          <w:szCs w:val="32"/>
          <w:highlight w:val="lightGray"/>
          <w:lang w:eastAsia="zh-CN"/>
        </w:rPr>
        <w:t>八</w:t>
      </w:r>
      <w:r>
        <w:rPr>
          <w:rFonts w:hint="eastAsia" w:ascii="黑体" w:hAnsi="黑体" w:eastAsia="黑体"/>
          <w:sz w:val="32"/>
          <w:szCs w:val="32"/>
          <w:highlight w:val="lightGray"/>
        </w:rPr>
        <w:t>、一般公共服务支出（类）财政事务（款）</w:t>
      </w:r>
      <w:r>
        <w:rPr>
          <w:rFonts w:hint="eastAsia" w:ascii="黑体" w:hAnsi="黑体" w:eastAsia="黑体"/>
          <w:sz w:val="32"/>
          <w:szCs w:val="32"/>
          <w:highlight w:val="lightGray"/>
          <w:lang w:eastAsia="zh-CN"/>
        </w:rPr>
        <w:t>事业运行</w:t>
      </w:r>
      <w:r>
        <w:rPr>
          <w:rFonts w:hint="eastAsia" w:ascii="黑体" w:hAnsi="黑体" w:eastAsia="黑体"/>
          <w:sz w:val="32"/>
          <w:szCs w:val="32"/>
          <w:highlight w:val="lightGray"/>
        </w:rPr>
        <w:t>（项）：</w:t>
      </w:r>
      <w:r>
        <w:rPr>
          <w:rFonts w:hint="eastAsia" w:ascii="仿宋_GB2312" w:eastAsia="仿宋_GB2312"/>
          <w:sz w:val="32"/>
          <w:szCs w:val="32"/>
          <w:highlight w:val="lightGray"/>
        </w:rPr>
        <w:t>反映</w:t>
      </w:r>
      <w:r>
        <w:rPr>
          <w:rFonts w:hint="eastAsia" w:ascii="仿宋_GB2312" w:eastAsia="仿宋_GB2312"/>
          <w:sz w:val="32"/>
          <w:szCs w:val="32"/>
          <w:highlight w:val="lightGray"/>
          <w:lang w:eastAsia="zh-CN"/>
        </w:rPr>
        <w:t>事业单位的基本</w:t>
      </w:r>
      <w:r>
        <w:rPr>
          <w:rFonts w:hint="eastAsia" w:ascii="仿宋_GB2312" w:eastAsia="仿宋_GB2312"/>
          <w:sz w:val="32"/>
          <w:szCs w:val="32"/>
          <w:highlight w:val="lightGray"/>
        </w:rPr>
        <w:t>支出。</w:t>
      </w: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643" w:firstLineChars="200"/>
        <w:rPr>
          <w:rFonts w:ascii="仿宋_GB2312" w:eastAsia="仿宋_GB2312"/>
          <w:b/>
          <w:sz w:val="32"/>
          <w:szCs w:val="32"/>
          <w:highlight w:val="lightGray"/>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p>
    <w:p>
      <w:pPr>
        <w:ind w:firstLine="540" w:firstLineChars="100"/>
        <w:rPr>
          <w:rFonts w:ascii="方正小标宋简体" w:eastAsia="方正小标宋简体"/>
          <w:spacing w:val="60"/>
          <w:sz w:val="42"/>
        </w:rPr>
      </w:pPr>
      <w:r>
        <w:rPr>
          <w:rFonts w:hint="eastAsia" w:ascii="方正小标宋简体" w:eastAsia="方正小标宋简体"/>
          <w:spacing w:val="60"/>
          <w:sz w:val="42"/>
        </w:rPr>
        <w:t>第五部分</w:t>
      </w:r>
    </w:p>
    <w:p>
      <w:pPr>
        <w:jc w:val="center"/>
        <w:rPr>
          <w:rFonts w:ascii="方正小标宋简体" w:eastAsia="方正小标宋简体"/>
          <w:spacing w:val="60"/>
          <w:sz w:val="42"/>
        </w:rPr>
      </w:pPr>
    </w:p>
    <w:p>
      <w:pPr>
        <w:jc w:val="center"/>
        <w:rPr>
          <w:rFonts w:ascii="方正小标宋简体" w:eastAsia="方正小标宋简体"/>
          <w:spacing w:val="60"/>
          <w:sz w:val="42"/>
        </w:rPr>
      </w:pPr>
    </w:p>
    <w:p>
      <w:pPr>
        <w:jc w:val="center"/>
        <w:rPr>
          <w:rFonts w:ascii="方正小标宋简体" w:eastAsia="方正小标宋简体"/>
          <w:spacing w:val="60"/>
          <w:sz w:val="48"/>
        </w:rPr>
      </w:pPr>
      <w:r>
        <w:rPr>
          <w:rFonts w:hint="eastAsia" w:ascii="方正小标宋简体" w:eastAsia="方正小标宋简体"/>
          <w:spacing w:val="60"/>
          <w:sz w:val="48"/>
        </w:rPr>
        <w:t xml:space="preserve">  附  件</w:t>
      </w:r>
    </w:p>
    <w:p>
      <w:pPr>
        <w:tabs>
          <w:tab w:val="left" w:pos="5891"/>
        </w:tabs>
        <w:spacing w:line="580" w:lineRule="exact"/>
        <w:rPr>
          <w:szCs w:val="32"/>
        </w:rPr>
        <w:sectPr>
          <w:pgSz w:w="11906" w:h="16838"/>
          <w:pgMar w:top="2098" w:right="1418" w:bottom="1871" w:left="1531" w:header="851" w:footer="992" w:gutter="0"/>
          <w:cols w:space="720" w:num="1"/>
          <w:docGrid w:type="lines" w:linePitch="312" w:charSpace="0"/>
        </w:sect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2020年度济宁市</w:t>
      </w:r>
      <w:r>
        <w:rPr>
          <w:rFonts w:hint="eastAsia" w:ascii="方正小标宋简体" w:hAnsi="方正小标宋简体" w:eastAsia="方正小标宋简体" w:cs="方正小标宋简体"/>
          <w:sz w:val="44"/>
          <w:szCs w:val="44"/>
          <w:lang w:eastAsia="zh-CN"/>
        </w:rPr>
        <w:t>人民政府外事办公室</w:t>
      </w:r>
      <w:r>
        <w:rPr>
          <w:rFonts w:hint="eastAsia" w:ascii="方正小标宋简体" w:hAnsi="方正小标宋简体" w:eastAsia="方正小标宋简体" w:cs="方正小标宋简体"/>
          <w:sz w:val="44"/>
          <w:szCs w:val="44"/>
        </w:rPr>
        <w:t>部门预算项目绩效自评情况</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汇总表</w:t>
      </w:r>
    </w:p>
    <w:p>
      <w:pPr>
        <w:tabs>
          <w:tab w:val="left" w:pos="5891"/>
        </w:tabs>
        <w:spacing w:line="580" w:lineRule="exact"/>
        <w:jc w:val="right"/>
        <w:rPr>
          <w:rFonts w:ascii="黑体" w:hAnsi="黑体" w:eastAsia="黑体" w:cs="黑体"/>
          <w:szCs w:val="32"/>
        </w:rPr>
      </w:pPr>
      <w:r>
        <w:rPr>
          <w:rFonts w:hint="eastAsia" w:ascii="黑体" w:hAnsi="宋体" w:eastAsia="黑体" w:cs="黑体"/>
          <w:color w:val="000000"/>
          <w:kern w:val="0"/>
          <w:sz w:val="24"/>
        </w:rPr>
        <w:t>单位：万元</w:t>
      </w:r>
    </w:p>
    <w:tbl>
      <w:tblPr>
        <w:tblStyle w:val="13"/>
        <w:tblpPr w:leftFromText="180" w:rightFromText="180" w:vertAnchor="text" w:horzAnchor="page" w:tblpXSpec="center" w:tblpY="259"/>
        <w:tblOverlap w:val="never"/>
        <w:tblW w:w="13041" w:type="dxa"/>
        <w:jc w:val="center"/>
        <w:tblLayout w:type="fixed"/>
        <w:tblCellMar>
          <w:top w:w="15" w:type="dxa"/>
          <w:left w:w="15" w:type="dxa"/>
          <w:bottom w:w="15" w:type="dxa"/>
          <w:right w:w="15" w:type="dxa"/>
        </w:tblCellMar>
      </w:tblPr>
      <w:tblGrid>
        <w:gridCol w:w="839"/>
        <w:gridCol w:w="5744"/>
        <w:gridCol w:w="3087"/>
        <w:gridCol w:w="1801"/>
        <w:gridCol w:w="1570"/>
      </w:tblGrid>
      <w:tr>
        <w:tblPrEx>
          <w:tblCellMar>
            <w:top w:w="15" w:type="dxa"/>
            <w:left w:w="15" w:type="dxa"/>
            <w:bottom w:w="15" w:type="dxa"/>
            <w:right w:w="15" w:type="dxa"/>
          </w:tblCellMar>
        </w:tblPrEx>
        <w:trPr>
          <w:trHeight w:val="319" w:hRule="atLeast"/>
          <w:jc w:val="center"/>
        </w:trPr>
        <w:tc>
          <w:tcPr>
            <w:tcW w:w="839"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序号</w:t>
            </w:r>
          </w:p>
        </w:tc>
        <w:tc>
          <w:tcPr>
            <w:tcW w:w="5744"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项目名称</w:t>
            </w:r>
          </w:p>
        </w:tc>
        <w:tc>
          <w:tcPr>
            <w:tcW w:w="3087" w:type="dxa"/>
            <w:vMerge w:val="restar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资金使用单位</w:t>
            </w:r>
          </w:p>
        </w:tc>
        <w:tc>
          <w:tcPr>
            <w:tcW w:w="18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得分</w:t>
            </w:r>
          </w:p>
        </w:tc>
        <w:tc>
          <w:tcPr>
            <w:tcW w:w="15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w:t>
            </w:r>
          </w:p>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等级</w:t>
            </w:r>
          </w:p>
        </w:tc>
      </w:tr>
      <w:tr>
        <w:tblPrEx>
          <w:tblCellMar>
            <w:top w:w="15" w:type="dxa"/>
            <w:left w:w="15" w:type="dxa"/>
            <w:bottom w:w="15" w:type="dxa"/>
            <w:right w:w="15" w:type="dxa"/>
          </w:tblCellMar>
        </w:tblPrEx>
        <w:trPr>
          <w:trHeight w:val="513"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319" w:hRule="atLeast"/>
          <w:jc w:val="center"/>
        </w:trPr>
        <w:tc>
          <w:tcPr>
            <w:tcW w:w="839"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5744"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3087" w:type="dxa"/>
            <w:vMerge w:val="continue"/>
            <w:tcBorders>
              <w:top w:val="single" w:color="000000" w:sz="4" w:space="0"/>
              <w:left w:val="single" w:color="auto" w:sz="4" w:space="0"/>
              <w:bottom w:val="single" w:color="000000" w:sz="4" w:space="0"/>
              <w:right w:val="single" w:color="auto" w:sz="4" w:space="0"/>
            </w:tcBorders>
            <w:vAlign w:val="center"/>
          </w:tcPr>
          <w:p>
            <w:pPr>
              <w:jc w:val="center"/>
              <w:rPr>
                <w:rFonts w:ascii="黑体" w:hAnsi="宋体" w:eastAsia="黑体" w:cs="黑体"/>
                <w:color w:val="000000"/>
                <w:sz w:val="24"/>
              </w:rPr>
            </w:pPr>
          </w:p>
        </w:tc>
        <w:tc>
          <w:tcPr>
            <w:tcW w:w="18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c>
          <w:tcPr>
            <w:tcW w:w="15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57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2"/>
                <w:szCs w:val="22"/>
                <w:u w:val="none"/>
                <w:lang w:val="en-US" w:eastAsia="zh-CN" w:bidi="ar"/>
              </w:rPr>
              <w:t>外事工作与友城交流</w:t>
            </w:r>
          </w:p>
        </w:tc>
        <w:tc>
          <w:tcPr>
            <w:tcW w:w="3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2"/>
                <w:szCs w:val="22"/>
                <w:u w:val="none"/>
                <w:lang w:val="en-US" w:eastAsia="zh-CN" w:bidi="ar"/>
              </w:rPr>
              <w:t>济宁市人民政府外事办公室</w:t>
            </w:r>
          </w:p>
        </w:tc>
        <w:tc>
          <w:tcPr>
            <w:tcW w:w="1801"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color w:val="000000"/>
                <w:sz w:val="24"/>
                <w:lang w:val="en-US"/>
              </w:rPr>
            </w:pPr>
            <w:r>
              <w:rPr>
                <w:rFonts w:hint="eastAsia" w:ascii="宋体" w:hAnsi="宋体" w:eastAsia="宋体" w:cs="宋体"/>
                <w:i w:val="0"/>
                <w:color w:val="000000"/>
                <w:kern w:val="0"/>
                <w:sz w:val="22"/>
                <w:szCs w:val="22"/>
                <w:u w:val="none"/>
                <w:lang w:val="en-US" w:eastAsia="zh-CN" w:bidi="ar"/>
              </w:rPr>
              <w:t>91.9</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 w:val="24"/>
                <w:lang w:eastAsia="zh-CN"/>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57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2"/>
                <w:szCs w:val="22"/>
                <w:u w:val="none"/>
                <w:lang w:val="en-US" w:eastAsia="zh-CN" w:bidi="ar"/>
              </w:rPr>
              <w:t>济宁市外事数据资源共享系统</w:t>
            </w:r>
          </w:p>
        </w:tc>
        <w:tc>
          <w:tcPr>
            <w:tcW w:w="3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济宁市人民政府外事办公室</w:t>
            </w:r>
          </w:p>
        </w:tc>
        <w:tc>
          <w:tcPr>
            <w:tcW w:w="1801" w:type="dxa"/>
            <w:tcBorders>
              <w:top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2"/>
                <w:szCs w:val="22"/>
                <w:u w:val="none"/>
                <w:lang w:val="en-US" w:eastAsia="zh-CN" w:bidi="ar"/>
              </w:rPr>
              <w:t>99.9</w:t>
            </w:r>
          </w:p>
        </w:tc>
        <w:tc>
          <w:tcPr>
            <w:tcW w:w="15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lang w:eastAsia="zh-CN"/>
              </w:rPr>
              <w:t>优</w:t>
            </w: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378"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4</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5</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444" w:hRule="atLeast"/>
          <w:jc w:val="center"/>
        </w:trPr>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w:t>
            </w:r>
          </w:p>
        </w:tc>
        <w:tc>
          <w:tcPr>
            <w:tcW w:w="5744"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c>
          <w:tcPr>
            <w:tcW w:w="30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801" w:type="dxa"/>
            <w:tcBorders>
              <w:top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24"/>
              </w:rPr>
            </w:pPr>
          </w:p>
        </w:tc>
      </w:tr>
    </w:tbl>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pPr>
    </w:p>
    <w:p>
      <w:pPr>
        <w:tabs>
          <w:tab w:val="left" w:pos="5891"/>
        </w:tabs>
        <w:spacing w:line="580" w:lineRule="exact"/>
        <w:rPr>
          <w:rFonts w:ascii="黑体" w:hAnsi="黑体" w:eastAsia="黑体" w:cs="黑体"/>
          <w:szCs w:val="32"/>
        </w:rPr>
        <w:sectPr>
          <w:pgSz w:w="16838" w:h="11906" w:orient="landscape"/>
          <w:pgMar w:top="1531" w:right="2098" w:bottom="1417" w:left="1871" w:header="851" w:footer="992" w:gutter="0"/>
          <w:cols w:space="720" w:num="1"/>
          <w:docGrid w:type="lines" w:linePitch="319" w:charSpace="0"/>
        </w:sectPr>
      </w:pPr>
    </w:p>
    <w:tbl>
      <w:tblPr>
        <w:tblStyle w:val="13"/>
        <w:tblW w:w="9358" w:type="dxa"/>
        <w:jc w:val="center"/>
        <w:tblLayout w:type="fixed"/>
        <w:tblCellMar>
          <w:top w:w="0" w:type="dxa"/>
          <w:left w:w="108" w:type="dxa"/>
          <w:bottom w:w="0" w:type="dxa"/>
          <w:right w:w="108" w:type="dxa"/>
        </w:tblCellMar>
      </w:tblPr>
      <w:tblGrid>
        <w:gridCol w:w="465"/>
        <w:gridCol w:w="142"/>
        <w:gridCol w:w="443"/>
        <w:gridCol w:w="196"/>
        <w:gridCol w:w="374"/>
        <w:gridCol w:w="1125"/>
        <w:gridCol w:w="25"/>
        <w:gridCol w:w="934"/>
        <w:gridCol w:w="548"/>
        <w:gridCol w:w="382"/>
        <w:gridCol w:w="90"/>
        <w:gridCol w:w="871"/>
        <w:gridCol w:w="59"/>
        <w:gridCol w:w="541"/>
        <w:gridCol w:w="352"/>
        <w:gridCol w:w="349"/>
        <w:gridCol w:w="292"/>
        <w:gridCol w:w="87"/>
        <w:gridCol w:w="429"/>
        <w:gridCol w:w="130"/>
        <w:gridCol w:w="747"/>
        <w:gridCol w:w="343"/>
        <w:gridCol w:w="434"/>
      </w:tblGrid>
      <w:tr>
        <w:tblPrEx>
          <w:tblCellMar>
            <w:top w:w="0" w:type="dxa"/>
            <w:left w:w="108" w:type="dxa"/>
            <w:bottom w:w="0" w:type="dxa"/>
            <w:right w:w="108" w:type="dxa"/>
          </w:tblCellMar>
        </w:tblPrEx>
        <w:trPr>
          <w:trHeight w:val="418" w:hRule="atLeast"/>
          <w:jc w:val="center"/>
        </w:trPr>
        <w:tc>
          <w:tcPr>
            <w:tcW w:w="9358" w:type="dxa"/>
            <w:gridSpan w:val="23"/>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市级预算项目支出绩效自评表</w:t>
            </w:r>
          </w:p>
        </w:tc>
      </w:tr>
      <w:tr>
        <w:tblPrEx>
          <w:tblCellMar>
            <w:top w:w="0" w:type="dxa"/>
            <w:left w:w="108" w:type="dxa"/>
            <w:bottom w:w="0" w:type="dxa"/>
            <w:right w:w="108" w:type="dxa"/>
          </w:tblCellMar>
        </w:tblPrEx>
        <w:trPr>
          <w:trHeight w:val="324" w:hRule="atLeast"/>
          <w:jc w:val="center"/>
        </w:trPr>
        <w:tc>
          <w:tcPr>
            <w:tcW w:w="9358" w:type="dxa"/>
            <w:gridSpan w:val="23"/>
            <w:tcMar>
              <w:top w:w="15" w:type="dxa"/>
              <w:left w:w="15" w:type="dxa"/>
              <w:bottom w:w="15" w:type="dxa"/>
              <w:right w:w="15" w:type="dxa"/>
            </w:tcMar>
            <w:vAlign w:val="center"/>
          </w:tcPr>
          <w:p>
            <w:pPr>
              <w:widowControl/>
              <w:jc w:val="center"/>
              <w:textAlignment w:val="center"/>
              <w:rPr>
                <w:rFonts w:ascii="楷体_GB2312" w:hAnsi="宋体" w:eastAsia="楷体_GB2312" w:cs="楷体_GB2312"/>
                <w:color w:val="000000"/>
                <w:sz w:val="24"/>
                <w:szCs w:val="24"/>
              </w:rPr>
            </w:pPr>
            <w:r>
              <w:rPr>
                <w:rFonts w:hint="eastAsia" w:ascii="楷体_GB2312" w:hAnsi="宋体" w:eastAsia="楷体_GB2312" w:cs="楷体_GB2312"/>
                <w:color w:val="000000"/>
                <w:kern w:val="0"/>
                <w:sz w:val="24"/>
              </w:rPr>
              <w:t>（2020年度）</w:t>
            </w:r>
          </w:p>
        </w:tc>
      </w:tr>
      <w:tr>
        <w:tblPrEx>
          <w:tblCellMar>
            <w:top w:w="0" w:type="dxa"/>
            <w:left w:w="108" w:type="dxa"/>
            <w:bottom w:w="0" w:type="dxa"/>
            <w:right w:w="108" w:type="dxa"/>
          </w:tblCellMar>
        </w:tblPrEx>
        <w:trPr>
          <w:trHeight w:val="307" w:hRule="atLeast"/>
          <w:jc w:val="center"/>
        </w:trPr>
        <w:tc>
          <w:tcPr>
            <w:tcW w:w="124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项目名称</w:t>
            </w:r>
          </w:p>
        </w:tc>
        <w:tc>
          <w:tcPr>
            <w:tcW w:w="4408"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rPr>
            </w:pPr>
            <w:r>
              <w:rPr>
                <w:rFonts w:hint="eastAsia" w:ascii="宋体" w:hAnsi="宋体" w:eastAsia="宋体" w:cs="宋体"/>
                <w:i w:val="0"/>
                <w:color w:val="000000"/>
                <w:kern w:val="0"/>
                <w:sz w:val="20"/>
                <w:szCs w:val="20"/>
                <w:u w:val="none"/>
                <w:lang w:val="en-US" w:eastAsia="zh-CN" w:bidi="ar"/>
              </w:rPr>
              <w:t>外事工作与友城交流</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主管部门</w:t>
            </w:r>
          </w:p>
        </w:tc>
        <w:tc>
          <w:tcPr>
            <w:tcW w:w="2462"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eastAsia" w:ascii="宋体" w:hAnsi="宋体" w:cs="宋体" w:eastAsiaTheme="minorEastAsia"/>
                <w:color w:val="000000"/>
                <w:sz w:val="16"/>
                <w:szCs w:val="16"/>
                <w:lang w:eastAsia="zh-CN"/>
              </w:rPr>
            </w:pPr>
            <w:r>
              <w:rPr>
                <w:rFonts w:hint="eastAsia" w:ascii="宋体" w:hAnsi="宋体" w:cs="宋体"/>
                <w:color w:val="000000"/>
                <w:sz w:val="16"/>
                <w:szCs w:val="16"/>
                <w:lang w:eastAsia="zh-CN"/>
              </w:rPr>
              <w:t>济宁市人民政府外事办公室</w:t>
            </w:r>
          </w:p>
        </w:tc>
      </w:tr>
      <w:tr>
        <w:tblPrEx>
          <w:tblCellMar>
            <w:top w:w="0" w:type="dxa"/>
            <w:left w:w="108" w:type="dxa"/>
            <w:bottom w:w="0" w:type="dxa"/>
            <w:right w:w="108" w:type="dxa"/>
          </w:tblCellMar>
        </w:tblPrEx>
        <w:trPr>
          <w:trHeight w:val="307" w:hRule="atLeast"/>
          <w:jc w:val="center"/>
        </w:trPr>
        <w:tc>
          <w:tcPr>
            <w:tcW w:w="1246"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项目实施单位</w:t>
            </w:r>
          </w:p>
        </w:tc>
        <w:tc>
          <w:tcPr>
            <w:tcW w:w="4408"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color w:val="000000"/>
                <w:sz w:val="16"/>
                <w:szCs w:val="16"/>
              </w:rPr>
            </w:pPr>
            <w:r>
              <w:rPr>
                <w:rFonts w:hint="eastAsia" w:ascii="宋体" w:hAnsi="宋体" w:eastAsia="宋体" w:cs="宋体"/>
                <w:i w:val="0"/>
                <w:color w:val="000000"/>
                <w:kern w:val="0"/>
                <w:sz w:val="20"/>
                <w:szCs w:val="20"/>
                <w:u w:val="none"/>
                <w:lang w:val="en-US" w:eastAsia="zh-CN" w:bidi="ar"/>
              </w:rPr>
              <w:t>　市外办</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联系电话</w:t>
            </w:r>
          </w:p>
        </w:tc>
        <w:tc>
          <w:tcPr>
            <w:tcW w:w="2462"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0537-2348660</w:t>
            </w:r>
          </w:p>
        </w:tc>
      </w:tr>
      <w:tr>
        <w:tblPrEx>
          <w:tblCellMar>
            <w:top w:w="0" w:type="dxa"/>
            <w:left w:w="108" w:type="dxa"/>
            <w:bottom w:w="0" w:type="dxa"/>
            <w:right w:w="108" w:type="dxa"/>
          </w:tblCellMar>
        </w:tblPrEx>
        <w:trPr>
          <w:trHeight w:val="635" w:hRule="atLeast"/>
          <w:jc w:val="center"/>
        </w:trPr>
        <w:tc>
          <w:tcPr>
            <w:tcW w:w="1246"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项目预算</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执行情况</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金额</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（单</w:t>
            </w:r>
            <w:r>
              <w:rPr>
                <w:rFonts w:hint="eastAsia" w:ascii="宋体" w:hAnsi="宋体" w:cs="宋体"/>
                <w:sz w:val="16"/>
                <w:szCs w:val="16"/>
              </w:rPr>
              <w:t>位：万元</w:t>
            </w:r>
            <w:r>
              <w:rPr>
                <w:rFonts w:hint="eastAsia" w:ascii="宋体" w:hAnsi="宋体" w:cs="宋体"/>
                <w:color w:val="000000"/>
                <w:sz w:val="16"/>
                <w:szCs w:val="16"/>
              </w:rPr>
              <w:t>）</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年初预算数</w:t>
            </w:r>
          </w:p>
        </w:tc>
        <w:tc>
          <w:tcPr>
            <w:tcW w:w="1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全年预算数</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全年执行数</w:t>
            </w:r>
          </w:p>
        </w:tc>
        <w:tc>
          <w:tcPr>
            <w:tcW w:w="8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执行率</w:t>
            </w: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r>
      <w:tr>
        <w:tblPrEx>
          <w:tblCellMar>
            <w:top w:w="0" w:type="dxa"/>
            <w:left w:w="108" w:type="dxa"/>
            <w:bottom w:w="0" w:type="dxa"/>
            <w:right w:w="108" w:type="dxa"/>
          </w:tblCellMar>
        </w:tblPrEx>
        <w:trPr>
          <w:trHeight w:val="419" w:hRule="exact"/>
          <w:jc w:val="center"/>
        </w:trPr>
        <w:tc>
          <w:tcPr>
            <w:tcW w:w="124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年度资金总额</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94.24</w:t>
            </w:r>
          </w:p>
        </w:tc>
        <w:tc>
          <w:tcPr>
            <w:tcW w:w="1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94.24</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17.63</w:t>
            </w:r>
          </w:p>
        </w:tc>
        <w:tc>
          <w:tcPr>
            <w:tcW w:w="8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0.19</w:t>
            </w: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1.9</w:t>
            </w:r>
          </w:p>
        </w:tc>
      </w:tr>
      <w:tr>
        <w:tblPrEx>
          <w:tblCellMar>
            <w:top w:w="0" w:type="dxa"/>
            <w:left w:w="108" w:type="dxa"/>
            <w:bottom w:w="0" w:type="dxa"/>
            <w:right w:w="108" w:type="dxa"/>
          </w:tblCellMar>
        </w:tblPrEx>
        <w:trPr>
          <w:trHeight w:val="419" w:hRule="exact"/>
          <w:jc w:val="center"/>
        </w:trPr>
        <w:tc>
          <w:tcPr>
            <w:tcW w:w="124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其中：当年财政拨款</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33.44</w:t>
            </w:r>
          </w:p>
        </w:tc>
        <w:tc>
          <w:tcPr>
            <w:tcW w:w="1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33.44</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7.69</w:t>
            </w:r>
          </w:p>
        </w:tc>
        <w:tc>
          <w:tcPr>
            <w:tcW w:w="8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0.22</w:t>
            </w: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1.1</w:t>
            </w:r>
          </w:p>
        </w:tc>
      </w:tr>
      <w:tr>
        <w:tblPrEx>
          <w:tblCellMar>
            <w:top w:w="0" w:type="dxa"/>
            <w:left w:w="108" w:type="dxa"/>
            <w:bottom w:w="0" w:type="dxa"/>
            <w:right w:w="108" w:type="dxa"/>
          </w:tblCellMar>
        </w:tblPrEx>
        <w:trPr>
          <w:trHeight w:val="419" w:hRule="exact"/>
          <w:jc w:val="center"/>
        </w:trPr>
        <w:tc>
          <w:tcPr>
            <w:tcW w:w="124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上年结转资金</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60.8</w:t>
            </w:r>
          </w:p>
        </w:tc>
        <w:tc>
          <w:tcPr>
            <w:tcW w:w="1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60.8</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9.94</w:t>
            </w:r>
          </w:p>
        </w:tc>
        <w:tc>
          <w:tcPr>
            <w:tcW w:w="8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5</w:t>
            </w: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0.16</w:t>
            </w: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0.8</w:t>
            </w:r>
          </w:p>
        </w:tc>
      </w:tr>
      <w:tr>
        <w:tblPrEx>
          <w:tblCellMar>
            <w:top w:w="0" w:type="dxa"/>
            <w:left w:w="108" w:type="dxa"/>
            <w:bottom w:w="0" w:type="dxa"/>
            <w:right w:w="108" w:type="dxa"/>
          </w:tblCellMar>
        </w:tblPrEx>
        <w:trPr>
          <w:trHeight w:val="324" w:hRule="exact"/>
          <w:jc w:val="center"/>
        </w:trPr>
        <w:tc>
          <w:tcPr>
            <w:tcW w:w="124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color w:val="000000"/>
                <w:sz w:val="16"/>
                <w:szCs w:val="16"/>
              </w:rPr>
            </w:pPr>
            <w:r>
              <w:rPr>
                <w:rFonts w:hint="eastAsia" w:ascii="宋体" w:hAnsi="宋体" w:cs="宋体"/>
                <w:color w:val="000000"/>
                <w:kern w:val="0"/>
                <w:sz w:val="16"/>
                <w:szCs w:val="16"/>
              </w:rPr>
              <w:t xml:space="preserve">      其他资金</w:t>
            </w:r>
          </w:p>
        </w:tc>
        <w:tc>
          <w:tcPr>
            <w:tcW w:w="148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0</w:t>
            </w:r>
          </w:p>
        </w:tc>
        <w:tc>
          <w:tcPr>
            <w:tcW w:w="1402"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0</w:t>
            </w:r>
          </w:p>
        </w:tc>
        <w:tc>
          <w:tcPr>
            <w:tcW w:w="1242"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FF"/>
                <w:kern w:val="0"/>
                <w:sz w:val="20"/>
                <w:szCs w:val="20"/>
                <w:u w:val="none"/>
                <w:lang w:val="en-US" w:eastAsia="zh-CN" w:bidi="ar"/>
              </w:rPr>
              <w:t>0</w:t>
            </w:r>
          </w:p>
        </w:tc>
        <w:tc>
          <w:tcPr>
            <w:tcW w:w="8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sz w:val="16"/>
                <w:szCs w:val="16"/>
              </w:rPr>
            </w:pPr>
          </w:p>
        </w:tc>
        <w:tc>
          <w:tcPr>
            <w:tcW w:w="8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sz w:val="16"/>
                <w:szCs w:val="16"/>
              </w:rPr>
            </w:pPr>
          </w:p>
        </w:tc>
        <w:tc>
          <w:tcPr>
            <w:tcW w:w="777"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sz w:val="16"/>
                <w:szCs w:val="16"/>
              </w:rPr>
            </w:pPr>
          </w:p>
        </w:tc>
      </w:tr>
      <w:tr>
        <w:tblPrEx>
          <w:tblCellMar>
            <w:top w:w="0" w:type="dxa"/>
            <w:left w:w="108" w:type="dxa"/>
            <w:bottom w:w="0" w:type="dxa"/>
            <w:right w:w="108" w:type="dxa"/>
          </w:tblCellMar>
        </w:tblPrEx>
        <w:trPr>
          <w:trHeight w:val="297" w:hRule="atLeast"/>
          <w:jc w:val="center"/>
        </w:trPr>
        <w:tc>
          <w:tcPr>
            <w:tcW w:w="124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年度总</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体目标</w:t>
            </w:r>
          </w:p>
        </w:tc>
        <w:tc>
          <w:tcPr>
            <w:tcW w:w="4408"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年初预期目标</w:t>
            </w:r>
          </w:p>
        </w:tc>
        <w:tc>
          <w:tcPr>
            <w:tcW w:w="3704" w:type="dxa"/>
            <w:gridSpan w:val="10"/>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目标实际完成情况</w:t>
            </w:r>
          </w:p>
        </w:tc>
      </w:tr>
      <w:tr>
        <w:tblPrEx>
          <w:tblCellMar>
            <w:top w:w="0" w:type="dxa"/>
            <w:left w:w="108" w:type="dxa"/>
            <w:bottom w:w="0" w:type="dxa"/>
            <w:right w:w="108" w:type="dxa"/>
          </w:tblCellMar>
        </w:tblPrEx>
        <w:trPr>
          <w:trHeight w:val="678" w:hRule="atLeast"/>
          <w:jc w:val="center"/>
        </w:trPr>
        <w:tc>
          <w:tcPr>
            <w:tcW w:w="1246"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4408" w:type="dxa"/>
            <w:gridSpan w:val="9"/>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　根据外交部、省外办和市委市政府部署做好党宾、国宾和国外友好使者及知名人士的外事接待工作，做好友城因公出访工作，积极拓展友好城市资源，为我市经济、文化、医疗、卫生、教育等务实对外合作搭建桥梁。具体接待次数需根据省外办每次来函后确定时间和资金，该预算是根据以往每年接待情况预计得出。</w:t>
            </w:r>
          </w:p>
        </w:tc>
        <w:tc>
          <w:tcPr>
            <w:tcW w:w="3704" w:type="dxa"/>
            <w:gridSpan w:val="10"/>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外事接待10批次，100人次，主要用于接待韩国希杰集团中国区副总裁高锡熙一行、韩国驻青岛总领事等。</w:t>
            </w:r>
          </w:p>
        </w:tc>
      </w:tr>
      <w:tr>
        <w:tblPrEx>
          <w:tblCellMar>
            <w:top w:w="0" w:type="dxa"/>
            <w:left w:w="108" w:type="dxa"/>
            <w:bottom w:w="0" w:type="dxa"/>
            <w:right w:w="108" w:type="dxa"/>
          </w:tblCellMar>
        </w:tblPrEx>
        <w:trPr>
          <w:trHeight w:val="630" w:hRule="atLeast"/>
          <w:jc w:val="center"/>
        </w:trPr>
        <w:tc>
          <w:tcPr>
            <w:tcW w:w="60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绩效指标</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5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年度指标值</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实际完成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指标值</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分值</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得分</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偏差原因分析</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及改进措施</w:t>
            </w:r>
          </w:p>
        </w:tc>
      </w:tr>
      <w:tr>
        <w:tblPrEx>
          <w:tblCellMar>
            <w:top w:w="0" w:type="dxa"/>
            <w:left w:w="108" w:type="dxa"/>
            <w:bottom w:w="0" w:type="dxa"/>
            <w:right w:w="108" w:type="dxa"/>
          </w:tblCellMar>
        </w:tblPrEx>
        <w:trPr>
          <w:trHeight w:val="314" w:hRule="exact"/>
          <w:jc w:val="center"/>
        </w:trPr>
        <w:tc>
          <w:tcPr>
            <w:tcW w:w="607" w:type="dxa"/>
            <w:gridSpan w:val="2"/>
            <w:vMerge w:val="restart"/>
            <w:tcBorders>
              <w:top w:val="single" w:color="000000" w:sz="4" w:space="0"/>
              <w:left w:val="single" w:color="000000" w:sz="4" w:space="0"/>
              <w:bottom w:val="single" w:color="000000" w:sz="4" w:space="0"/>
              <w:right w:val="nil"/>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年度绩效指标</w:t>
            </w:r>
          </w:p>
        </w:tc>
        <w:tc>
          <w:tcPr>
            <w:tcW w:w="6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产</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出</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（50分）</w:t>
            </w:r>
          </w:p>
        </w:tc>
        <w:tc>
          <w:tcPr>
            <w:tcW w:w="1524" w:type="dxa"/>
            <w:gridSpan w:val="3"/>
            <w:vMerge w:val="restart"/>
            <w:tcBorders>
              <w:top w:val="single" w:color="000000" w:sz="4" w:space="0"/>
              <w:left w:val="nil"/>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数量指标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外事接待批次</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10批次</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10批次</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3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nil"/>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质量指标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接待保障率100%</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100%</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接待保障率100%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49"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时效指标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工作开展及时率100%</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100%</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工作开展及时率100%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20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20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49"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成本指标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外事接待成本费用标准/成本控制率</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100%</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cs="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3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cs="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cs="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效</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益</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标</w:t>
            </w:r>
          </w:p>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（30分）</w:t>
            </w: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经济效益指标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不适用</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不适用</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不适用</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社会效益指标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积极拓展友好城市资源，为我市经济、文化、医疗、卫生、教育等务实对外合作搭建桥梁</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20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20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kern w:val="0"/>
                <w:sz w:val="16"/>
                <w:szCs w:val="16"/>
              </w:rPr>
            </w:pPr>
            <w:r>
              <w:rPr>
                <w:rFonts w:hint="eastAsia" w:ascii="宋体" w:hAnsi="宋体" w:cs="宋体"/>
                <w:color w:val="000000"/>
                <w:kern w:val="0"/>
                <w:sz w:val="16"/>
                <w:szCs w:val="16"/>
              </w:rPr>
              <w:t>生态效益指标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积极拓展友好城市资源，为我市经济、文化、医疗、卫生、教育等务实对外合作搭建桥梁</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cs="宋体"/>
                <w:color w:val="000000"/>
                <w:sz w:val="16"/>
                <w:szCs w:val="16"/>
              </w:rPr>
            </w:pPr>
            <w:r>
              <w:rPr>
                <w:rFonts w:hint="eastAsia" w:ascii="宋体" w:hAnsi="宋体" w:cs="宋体"/>
                <w:color w:val="000000"/>
                <w:sz w:val="16"/>
                <w:szCs w:val="16"/>
              </w:rPr>
              <w:t>可持续影响</w:t>
            </w:r>
          </w:p>
          <w:p>
            <w:pPr>
              <w:spacing w:line="280" w:lineRule="exact"/>
              <w:jc w:val="center"/>
              <w:rPr>
                <w:rFonts w:ascii="宋体" w:hAnsi="宋体" w:cs="宋体"/>
                <w:color w:val="000000"/>
                <w:sz w:val="16"/>
                <w:szCs w:val="16"/>
              </w:rPr>
            </w:pPr>
            <w:r>
              <w:rPr>
                <w:rFonts w:hint="eastAsia" w:ascii="宋体" w:hAnsi="宋体" w:cs="宋体"/>
                <w:color w:val="000000"/>
                <w:sz w:val="16"/>
                <w:szCs w:val="16"/>
              </w:rPr>
              <w:t>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济、文化、医疗、卫生、教育等务实对外合作搭建桥梁</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1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sz w:val="16"/>
                <w:szCs w:val="16"/>
              </w:rPr>
            </w:pPr>
            <w:r>
              <w:rPr>
                <w:rFonts w:hint="eastAsia" w:ascii="宋体" w:hAnsi="宋体" w:cs="宋体"/>
                <w:color w:val="000000"/>
                <w:kern w:val="0"/>
                <w:sz w:val="16"/>
                <w:szCs w:val="16"/>
              </w:rPr>
              <w:t>满意度</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指标</w:t>
            </w:r>
            <w:r>
              <w:rPr>
                <w:rFonts w:hint="eastAsia" w:ascii="宋体" w:hAnsi="宋体" w:cs="宋体"/>
                <w:color w:val="000000"/>
                <w:kern w:val="0"/>
                <w:sz w:val="16"/>
                <w:szCs w:val="16"/>
              </w:rPr>
              <w:br w:type="textWrapping"/>
            </w:r>
            <w:r>
              <w:rPr>
                <w:rFonts w:hint="eastAsia" w:ascii="宋体" w:hAnsi="宋体" w:cs="宋体"/>
                <w:color w:val="000000"/>
                <w:kern w:val="0"/>
                <w:sz w:val="16"/>
                <w:szCs w:val="16"/>
              </w:rPr>
              <w:t>（10分）</w:t>
            </w:r>
          </w:p>
        </w:tc>
        <w:tc>
          <w:tcPr>
            <w:tcW w:w="152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服务对象</w:t>
            </w:r>
          </w:p>
          <w:p>
            <w:pPr>
              <w:spacing w:line="280" w:lineRule="exact"/>
              <w:jc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满意度</w:t>
            </w: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100%</w:t>
            </w: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100%</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keepNext w:val="0"/>
              <w:keepLines w:val="0"/>
              <w:widowControl/>
              <w:suppressLineNumbers w:val="0"/>
              <w:jc w:val="center"/>
              <w:textAlignment w:val="center"/>
              <w:rPr>
                <w:rFonts w:ascii="宋体" w:hAnsi="宋体"/>
                <w:sz w:val="16"/>
                <w:szCs w:val="16"/>
              </w:rPr>
            </w:pPr>
            <w:r>
              <w:rPr>
                <w:rFonts w:hint="eastAsia" w:ascii="宋体" w:hAnsi="宋体" w:eastAsia="宋体" w:cs="宋体"/>
                <w:i w:val="0"/>
                <w:color w:val="000000"/>
                <w:kern w:val="0"/>
                <w:sz w:val="20"/>
                <w:szCs w:val="20"/>
                <w:u w:val="none"/>
                <w:lang w:val="en-US" w:eastAsia="zh-CN" w:bidi="ar"/>
              </w:rPr>
              <w:t>10</w:t>
            </w: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234" w:hRule="exact"/>
          <w:jc w:val="center"/>
        </w:trPr>
        <w:tc>
          <w:tcPr>
            <w:tcW w:w="607" w:type="dxa"/>
            <w:gridSpan w:val="2"/>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宋体"/>
                <w:color w:val="000000"/>
                <w:sz w:val="16"/>
                <w:szCs w:val="16"/>
              </w:rPr>
            </w:pPr>
          </w:p>
        </w:tc>
        <w:tc>
          <w:tcPr>
            <w:tcW w:w="6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524"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16"/>
                <w:szCs w:val="16"/>
              </w:rPr>
            </w:pPr>
          </w:p>
        </w:tc>
        <w:tc>
          <w:tcPr>
            <w:tcW w:w="186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宋体" w:hAnsi="宋体"/>
                <w:sz w:val="16"/>
                <w:szCs w:val="16"/>
              </w:rPr>
            </w:pPr>
          </w:p>
        </w:tc>
        <w:tc>
          <w:tcPr>
            <w:tcW w:w="1020"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8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646"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宋体" w:hAnsi="宋体"/>
                <w:sz w:val="16"/>
                <w:szCs w:val="16"/>
              </w:rPr>
            </w:pPr>
          </w:p>
        </w:tc>
        <w:tc>
          <w:tcPr>
            <w:tcW w:w="1524"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CellMar>
            <w:top w:w="0" w:type="dxa"/>
            <w:left w:w="108" w:type="dxa"/>
            <w:bottom w:w="0" w:type="dxa"/>
            <w:right w:w="108" w:type="dxa"/>
          </w:tblCellMar>
        </w:tblPrEx>
        <w:trPr>
          <w:trHeight w:val="324" w:hRule="atLeast"/>
          <w:jc w:val="center"/>
        </w:trPr>
        <w:tc>
          <w:tcPr>
            <w:tcW w:w="2770"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jc w:val="center"/>
              <w:textAlignment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6588" w:type="dxa"/>
            <w:gridSpan w:val="1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宋体" w:hAnsi="宋体" w:cs="宋体" w:eastAsiaTheme="minorEastAsia"/>
                <w:color w:val="000000"/>
                <w:sz w:val="16"/>
                <w:szCs w:val="16"/>
                <w:lang w:val="en-US" w:eastAsia="zh-CN"/>
              </w:rPr>
            </w:pPr>
            <w:r>
              <w:rPr>
                <w:rFonts w:hint="eastAsia" w:ascii="宋体" w:hAnsi="宋体" w:cs="宋体"/>
                <w:color w:val="000000"/>
                <w:sz w:val="16"/>
                <w:szCs w:val="16"/>
                <w:lang w:val="en-US" w:eastAsia="zh-CN"/>
              </w:rPr>
              <w:t>91.9</w:t>
            </w:r>
          </w:p>
        </w:tc>
      </w:tr>
      <w:tr>
        <w:tblPrEx>
          <w:tblCellMar>
            <w:top w:w="0" w:type="dxa"/>
            <w:left w:w="108" w:type="dxa"/>
            <w:bottom w:w="0" w:type="dxa"/>
            <w:right w:w="108" w:type="dxa"/>
          </w:tblCellMar>
        </w:tblPrEx>
        <w:trPr>
          <w:trHeight w:val="353" w:hRule="atLeast"/>
          <w:jc w:val="center"/>
        </w:trPr>
        <w:tc>
          <w:tcPr>
            <w:tcW w:w="2770" w:type="dxa"/>
            <w:gridSpan w:val="7"/>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280" w:lineRule="exact"/>
              <w:textAlignment w:val="center"/>
              <w:rPr>
                <w:rFonts w:ascii="宋体" w:hAnsi="宋体" w:cs="宋体"/>
                <w:color w:val="000000"/>
                <w:kern w:val="0"/>
                <w:sz w:val="16"/>
                <w:szCs w:val="16"/>
              </w:rPr>
            </w:pPr>
            <w:r>
              <w:rPr>
                <w:rFonts w:hint="eastAsia" w:ascii="宋体" w:hAnsi="宋体" w:cs="宋体"/>
                <w:color w:val="000000"/>
                <w:kern w:val="0"/>
                <w:sz w:val="16"/>
                <w:szCs w:val="16"/>
              </w:rPr>
              <w:t>总分在80分以下的项目未实现绩效目标的原因分析及拟采取的措施说明：</w:t>
            </w:r>
          </w:p>
        </w:tc>
        <w:tc>
          <w:tcPr>
            <w:tcW w:w="6588" w:type="dxa"/>
            <w:gridSpan w:val="1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rPr>
                <w:rFonts w:ascii="宋体" w:hAnsi="宋体" w:cs="宋体"/>
                <w:color w:val="00000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7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济宁市外事数据资源共享系统</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32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67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济宁市人民政府外事办公室</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332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510" w:hRule="atLeast"/>
          <w:jc w:val="center"/>
        </w:trPr>
        <w:tc>
          <w:tcPr>
            <w:tcW w:w="105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项目预算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执行情况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项目资金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（万元） </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全年预算数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（A） </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全年执行数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 </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执行率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（B/A) </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41.6</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99.04%</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当年拨款</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41.6</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99.04%</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105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年度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总体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目标 </w:t>
            </w:r>
          </w:p>
        </w:tc>
        <w:tc>
          <w:tcPr>
            <w:tcW w:w="367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420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2800" w:hRule="atLeast"/>
          <w:jc w:val="center"/>
        </w:trPr>
        <w:tc>
          <w:tcPr>
            <w:tcW w:w="1050" w:type="dxa"/>
            <w:gridSpan w:val="3"/>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4"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1）建立科学合理的外事数据共享指标体系，力求全面反映地区涉外工作总体情况： 2）有组织、有计划、持续地对政府涉外部门、各大企业、高校涉外信息资源进行收集、整合，建立全地区涉外信息资源共建、共享的统一管理机制； 3）依托地区电子政务基础设施，充分利用现代信息技术，以科学的外事数据共享指标体系为基础，建设支持政府涉外基础数据库系统，提高信息资源的建设、管理和共建共享能力； 4）数据互通：充分利用现代信息网络技术实现涉外数据的整理、分析、汇总。</w:t>
            </w:r>
          </w:p>
        </w:tc>
        <w:tc>
          <w:tcPr>
            <w:tcW w:w="420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有组织、有计划、持续地对政府涉外部门、各大企业、高校涉外信息资源进行收集、整合，为建立全地区涉外信息资源共建、共享的统一管理机制做准备。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600" w:hRule="atLeast"/>
          <w:jc w:val="center"/>
        </w:trPr>
        <w:tc>
          <w:tcPr>
            <w:tcW w:w="465"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绩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p>
        </w:tc>
        <w:tc>
          <w:tcPr>
            <w:tcW w:w="585" w:type="dxa"/>
            <w:gridSpan w:val="2"/>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p>
        </w:tc>
        <w:tc>
          <w:tcPr>
            <w:tcW w:w="1695"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（50分） </w:t>
            </w: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290"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2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2020年底完成</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2020年底完成</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成本控制情况</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≤42万元</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41.6万元</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益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（30分） </w:t>
            </w: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提高其涉外决策水平，促进外事工作持续、稳定、</w:t>
            </w:r>
            <w:r>
              <w:rPr>
                <w:rFonts w:hint="eastAsia" w:ascii="宋体" w:hAnsi="宋体" w:eastAsia="宋体" w:cs="宋体"/>
                <w:i w:val="0"/>
                <w:color w:val="000000"/>
                <w:sz w:val="20"/>
                <w:szCs w:val="20"/>
                <w:u w:val="none"/>
                <w:lang w:eastAsia="zh-CN"/>
              </w:rPr>
              <w:t>健</w:t>
            </w:r>
            <w:r>
              <w:rPr>
                <w:rFonts w:hint="eastAsia" w:ascii="宋体" w:hAnsi="宋体" w:eastAsia="宋体" w:cs="宋体"/>
                <w:i w:val="0"/>
                <w:color w:val="000000"/>
                <w:sz w:val="20"/>
                <w:szCs w:val="20"/>
                <w:u w:val="none"/>
              </w:rPr>
              <w:t>康发展，增强政府工作的透明度，迸一步改善为民服务的质量和效率。</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完成准备工作</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不适用</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不适用</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不适用</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不适用</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不适用</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提高其涉外决策水平，促进外事工作持续、稳定、</w:t>
            </w:r>
            <w:r>
              <w:rPr>
                <w:rFonts w:hint="eastAsia" w:ascii="宋体" w:hAnsi="宋体" w:eastAsia="宋体" w:cs="宋体"/>
                <w:i w:val="0"/>
                <w:color w:val="000000"/>
                <w:sz w:val="20"/>
                <w:szCs w:val="20"/>
                <w:u w:val="none"/>
                <w:lang w:eastAsia="zh-CN"/>
              </w:rPr>
              <w:t>健</w:t>
            </w:r>
            <w:r>
              <w:rPr>
                <w:rFonts w:hint="eastAsia" w:ascii="宋体" w:hAnsi="宋体" w:eastAsia="宋体" w:cs="宋体"/>
                <w:i w:val="0"/>
                <w:color w:val="000000"/>
                <w:sz w:val="20"/>
                <w:szCs w:val="20"/>
                <w:u w:val="none"/>
              </w:rPr>
              <w:t>康发展，增强政府工作的透明度，迸一步改善为民服务的质量和效率。</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做好系统应用的准备工作及信息收集工作</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做好系统应用的准备工作及信息收集工作</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满意度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69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9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434" w:type="dxa"/>
          <w:trHeight w:val="375" w:hRule="atLeast"/>
          <w:jc w:val="center"/>
        </w:trPr>
        <w:tc>
          <w:tcPr>
            <w:tcW w:w="465"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3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100</w:t>
            </w:r>
          </w:p>
        </w:tc>
        <w:tc>
          <w:tcPr>
            <w:tcW w:w="10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99.9</w:t>
            </w:r>
          </w:p>
        </w:tc>
        <w:tc>
          <w:tcPr>
            <w:tcW w:w="164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both"/>
        <w:outlineLvl w:val="0"/>
        <w:rPr>
          <w:rFonts w:hint="eastAsia" w:ascii="方正小标宋简体" w:hAnsi="方正小标宋简体" w:eastAsia="方正小标宋简体" w:cs="方正小标宋简体"/>
          <w:kern w:val="0"/>
          <w:sz w:val="44"/>
          <w:szCs w:val="44"/>
        </w:rPr>
      </w:pPr>
    </w:p>
    <w:p>
      <w:pPr>
        <w:overflowPunct w:val="0"/>
        <w:adjustRightInd w:val="0"/>
        <w:snapToGrid w:val="0"/>
        <w:spacing w:line="600" w:lineRule="exact"/>
        <w:jc w:val="center"/>
        <w:outlineLvl w:val="0"/>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2020年度</w:t>
      </w:r>
      <w:r>
        <w:rPr>
          <w:rFonts w:hint="eastAsia" w:ascii="方正小标宋简体" w:hAnsi="方正小标宋简体" w:eastAsia="方正小标宋简体" w:cs="方正小标宋简体"/>
          <w:kern w:val="0"/>
          <w:sz w:val="44"/>
          <w:szCs w:val="44"/>
          <w:lang w:eastAsia="zh-CN"/>
        </w:rPr>
        <w:t>济宁市人民政府外事办公室</w:t>
      </w:r>
    </w:p>
    <w:p>
      <w:pPr>
        <w:overflowPunct w:val="0"/>
        <w:adjustRightInd w:val="0"/>
        <w:snapToGrid w:val="0"/>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财政支出</w:t>
      </w:r>
      <w:r>
        <w:rPr>
          <w:rFonts w:hint="eastAsia" w:ascii="方正小标宋简体" w:eastAsia="方正小标宋简体"/>
          <w:sz w:val="44"/>
          <w:szCs w:val="44"/>
        </w:rPr>
        <w:t>绩效评价报告</w:t>
      </w:r>
    </w:p>
    <w:p>
      <w:pPr>
        <w:spacing w:line="580" w:lineRule="exact"/>
        <w:jc w:val="center"/>
        <w:rPr>
          <w:rFonts w:ascii="黑体" w:hAnsi="黑体" w:eastAsia="黑体"/>
          <w:sz w:val="32"/>
          <w:szCs w:val="32"/>
          <w:highlight w:val="none"/>
        </w:rPr>
      </w:pPr>
    </w:p>
    <w:p>
      <w:pPr>
        <w:spacing w:before="156" w:beforeLines="50" w:after="156" w:afterLines="50" w:line="600" w:lineRule="exact"/>
        <w:jc w:val="both"/>
        <w:outlineLvl w:val="0"/>
        <w:rPr>
          <w:rFonts w:ascii="仿宋" w:hAnsi="仿宋" w:eastAsia="仿宋"/>
          <w:b/>
          <w:bCs/>
          <w:color w:val="000000"/>
          <w:sz w:val="32"/>
          <w:szCs w:val="32"/>
          <w:highlight w:val="none"/>
        </w:rPr>
      </w:pPr>
    </w:p>
    <w:p>
      <w:pPr>
        <w:spacing w:before="156" w:beforeLines="50" w:after="156" w:afterLines="50" w:line="300" w:lineRule="atLeast"/>
        <w:jc w:val="left"/>
        <w:rPr>
          <w:rFonts w:ascii="仿宋" w:hAnsi="仿宋" w:eastAsia="仿宋" w:cs="Verdana"/>
          <w:color w:val="000000"/>
          <w:sz w:val="18"/>
          <w:szCs w:val="18"/>
          <w:highlight w:val="none"/>
        </w:rPr>
      </w:pPr>
    </w:p>
    <w:p>
      <w:pPr>
        <w:spacing w:before="156" w:beforeLines="50" w:after="156" w:afterLines="50" w:line="300" w:lineRule="atLeast"/>
        <w:jc w:val="left"/>
        <w:rPr>
          <w:rFonts w:ascii="仿宋" w:hAnsi="仿宋" w:eastAsia="仿宋" w:cs="Verdana"/>
          <w:color w:val="000000"/>
          <w:sz w:val="18"/>
          <w:szCs w:val="18"/>
          <w:highlight w:val="none"/>
        </w:rPr>
      </w:pPr>
    </w:p>
    <w:p>
      <w:pPr>
        <w:spacing w:before="156" w:beforeLines="50" w:after="156" w:afterLines="50" w:line="300" w:lineRule="atLeast"/>
        <w:jc w:val="left"/>
        <w:rPr>
          <w:rFonts w:ascii="仿宋" w:hAnsi="仿宋" w:eastAsia="仿宋" w:cs="Verdana"/>
          <w:color w:val="000000"/>
          <w:sz w:val="18"/>
          <w:szCs w:val="18"/>
          <w:highlight w:val="none"/>
        </w:rPr>
      </w:pPr>
    </w:p>
    <w:p>
      <w:pPr>
        <w:spacing w:before="156" w:beforeLines="50" w:after="156" w:afterLines="50" w:line="300" w:lineRule="atLeast"/>
        <w:jc w:val="left"/>
        <w:rPr>
          <w:rFonts w:ascii="仿宋" w:hAnsi="仿宋" w:eastAsia="仿宋" w:cs="Verdana"/>
          <w:color w:val="000000"/>
          <w:sz w:val="18"/>
          <w:szCs w:val="18"/>
          <w:highlight w:val="none"/>
        </w:rPr>
      </w:pPr>
    </w:p>
    <w:p>
      <w:pPr>
        <w:spacing w:before="156" w:beforeLines="50" w:after="156" w:afterLines="50" w:line="300" w:lineRule="atLeast"/>
        <w:ind w:left="210" w:leftChars="100" w:firstLine="560" w:firstLineChars="200"/>
        <w:jc w:val="left"/>
        <w:rPr>
          <w:rFonts w:hint="default" w:ascii="Verdana" w:hAnsi="Verdana" w:cs="宋体"/>
          <w:color w:val="000000"/>
          <w:sz w:val="28"/>
          <w:szCs w:val="28"/>
          <w:highlight w:val="none"/>
          <w:u w:val="single"/>
          <w:lang w:val="en-US"/>
        </w:rPr>
      </w:pPr>
      <w:r>
        <w:rPr>
          <w:rFonts w:hint="eastAsia" w:ascii="Verdana" w:hAnsi="Verdana" w:cs="宋体"/>
          <w:color w:val="000000"/>
          <w:sz w:val="28"/>
          <w:szCs w:val="28"/>
          <w:highlight w:val="none"/>
        </w:rPr>
        <w:t>项目名称：</w:t>
      </w:r>
      <w:r>
        <w:rPr>
          <w:rFonts w:hint="eastAsia" w:ascii="Verdana" w:hAnsi="Verdana" w:cs="宋体"/>
          <w:color w:val="000000"/>
          <w:sz w:val="28"/>
          <w:szCs w:val="28"/>
          <w:highlight w:val="none"/>
          <w:lang w:val="en-US" w:eastAsia="zh-CN"/>
        </w:rPr>
        <w:t xml:space="preserve"> </w:t>
      </w:r>
      <w:r>
        <w:rPr>
          <w:rFonts w:hint="eastAsia" w:ascii="Verdana" w:hAnsi="Verdana" w:cs="宋体"/>
          <w:color w:val="000000"/>
          <w:sz w:val="28"/>
          <w:szCs w:val="28"/>
          <w:highlight w:val="none"/>
          <w:u w:val="single"/>
          <w:lang w:val="en-US" w:eastAsia="zh-CN"/>
        </w:rPr>
        <w:t xml:space="preserve">外事工作与友城交流项目、外事数据资源共享系统  </w:t>
      </w:r>
    </w:p>
    <w:p>
      <w:pPr>
        <w:spacing w:before="156" w:beforeLines="50" w:after="156" w:afterLines="50" w:line="300" w:lineRule="atLeast"/>
        <w:ind w:left="210" w:leftChars="100" w:firstLine="560" w:firstLineChars="200"/>
        <w:jc w:val="left"/>
        <w:rPr>
          <w:rFonts w:hint="eastAsia" w:ascii="Verdana" w:hAnsi="Verdana" w:eastAsia="宋体" w:cs="宋体"/>
          <w:color w:val="000000"/>
          <w:sz w:val="28"/>
          <w:szCs w:val="28"/>
          <w:highlight w:val="none"/>
          <w:lang w:val="en-US" w:eastAsia="zh-CN"/>
        </w:rPr>
      </w:pPr>
      <w:r>
        <w:rPr>
          <w:rFonts w:hint="eastAsia" w:ascii="Verdana" w:hAnsi="Verdana" w:cs="宋体"/>
          <w:color w:val="000000"/>
          <w:sz w:val="28"/>
          <w:szCs w:val="28"/>
          <w:highlight w:val="none"/>
        </w:rPr>
        <w:t>项目单位：</w:t>
      </w:r>
      <w:r>
        <w:rPr>
          <w:rFonts w:hint="eastAsia" w:ascii="Verdana" w:hAnsi="Verdana" w:cs="宋体"/>
          <w:color w:val="000000"/>
          <w:sz w:val="28"/>
          <w:szCs w:val="28"/>
          <w:highlight w:val="none"/>
          <w:lang w:val="en-US" w:eastAsia="zh-CN"/>
        </w:rPr>
        <w:t xml:space="preserve"> </w:t>
      </w:r>
      <w:r>
        <w:rPr>
          <w:rFonts w:hint="eastAsia" w:ascii="Verdana" w:hAnsi="Verdana" w:cs="宋体"/>
          <w:color w:val="000000"/>
          <w:sz w:val="28"/>
          <w:szCs w:val="28"/>
          <w:highlight w:val="none"/>
          <w:u w:val="single"/>
          <w:lang w:eastAsia="zh-CN"/>
        </w:rPr>
        <w:t>济宁市人民政府外事办公室</w:t>
      </w:r>
      <w:r>
        <w:rPr>
          <w:rFonts w:hint="eastAsia" w:ascii="Verdana" w:hAnsi="Verdana" w:cs="宋体"/>
          <w:color w:val="000000"/>
          <w:sz w:val="28"/>
          <w:szCs w:val="28"/>
          <w:highlight w:val="none"/>
          <w:u w:val="single"/>
        </w:rPr>
        <w:t xml:space="preserve">    </w:t>
      </w:r>
    </w:p>
    <w:p>
      <w:pPr>
        <w:spacing w:before="156" w:beforeLines="50" w:after="156" w:afterLines="50" w:line="300" w:lineRule="atLeast"/>
        <w:ind w:left="210" w:leftChars="100" w:firstLine="560" w:firstLineChars="200"/>
        <w:jc w:val="left"/>
        <w:rPr>
          <w:rFonts w:hint="default" w:ascii="Verdana" w:hAnsi="Verdana" w:cs="宋体"/>
          <w:color w:val="000000"/>
          <w:sz w:val="28"/>
          <w:szCs w:val="28"/>
          <w:highlight w:val="none"/>
          <w:u w:val="single"/>
          <w:lang w:val="en-US" w:eastAsia="zh-CN"/>
        </w:rPr>
      </w:pPr>
      <w:r>
        <w:rPr>
          <w:rFonts w:hint="eastAsia" w:ascii="Verdana" w:hAnsi="Verdana" w:cs="宋体"/>
          <w:color w:val="000000"/>
          <w:sz w:val="28"/>
          <w:szCs w:val="28"/>
          <w:highlight w:val="none"/>
        </w:rPr>
        <w:t>预算部门：</w:t>
      </w:r>
      <w:r>
        <w:rPr>
          <w:rFonts w:hint="eastAsia" w:ascii="Verdana" w:hAnsi="Verdana" w:cs="宋体"/>
          <w:color w:val="000000"/>
          <w:sz w:val="28"/>
          <w:szCs w:val="28"/>
          <w:highlight w:val="none"/>
          <w:lang w:val="en-US" w:eastAsia="zh-CN"/>
        </w:rPr>
        <w:t xml:space="preserve"> </w:t>
      </w:r>
      <w:r>
        <w:rPr>
          <w:rFonts w:hint="eastAsia" w:ascii="Verdana" w:hAnsi="Verdana" w:cs="宋体"/>
          <w:color w:val="000000"/>
          <w:sz w:val="28"/>
          <w:szCs w:val="28"/>
          <w:highlight w:val="none"/>
          <w:u w:val="single"/>
          <w:lang w:eastAsia="zh-CN"/>
        </w:rPr>
        <w:t>济宁市人民政府外事办公室</w:t>
      </w:r>
      <w:r>
        <w:rPr>
          <w:rFonts w:hint="eastAsia" w:ascii="Verdana" w:hAnsi="Verdana" w:cs="宋体"/>
          <w:color w:val="000000"/>
          <w:sz w:val="28"/>
          <w:szCs w:val="28"/>
          <w:highlight w:val="none"/>
          <w:u w:val="single"/>
        </w:rPr>
        <w:t xml:space="preserve">   </w:t>
      </w:r>
      <w:r>
        <w:rPr>
          <w:rFonts w:hint="eastAsia" w:ascii="Verdana" w:hAnsi="Verdana" w:cs="宋体"/>
          <w:color w:val="000000"/>
          <w:sz w:val="28"/>
          <w:szCs w:val="28"/>
          <w:highlight w:val="none"/>
          <w:u w:val="single"/>
          <w:lang w:val="en-US" w:eastAsia="zh-CN"/>
        </w:rPr>
        <w:t xml:space="preserve">  </w:t>
      </w:r>
    </w:p>
    <w:p>
      <w:pPr>
        <w:spacing w:before="156" w:beforeLines="50" w:after="156" w:afterLines="50" w:line="300" w:lineRule="atLeast"/>
        <w:ind w:left="210" w:leftChars="100" w:firstLine="560" w:firstLineChars="200"/>
        <w:jc w:val="left"/>
        <w:rPr>
          <w:rFonts w:ascii="Verdana" w:hAnsi="Verdana" w:cs="宋体"/>
          <w:color w:val="000000"/>
          <w:sz w:val="28"/>
          <w:szCs w:val="28"/>
          <w:highlight w:val="none"/>
        </w:rPr>
      </w:pPr>
      <w:r>
        <w:rPr>
          <w:rFonts w:hint="eastAsia" w:ascii="Verdana" w:hAnsi="Verdana" w:cs="宋体"/>
          <w:color w:val="000000"/>
          <w:sz w:val="28"/>
          <w:szCs w:val="28"/>
          <w:highlight w:val="none"/>
        </w:rPr>
        <w:t>评价类型：事前评价□  事中评价□  事后评价</w:t>
      </w:r>
      <w:r>
        <w:rPr>
          <w:rFonts w:ascii="Segoe UI Symbol" w:hAnsi="Segoe UI Symbol" w:cs="Segoe UI Symbol"/>
          <w:color w:val="000000"/>
          <w:sz w:val="28"/>
          <w:szCs w:val="28"/>
          <w:highlight w:val="none"/>
        </w:rPr>
        <w:t>☑</w:t>
      </w:r>
    </w:p>
    <w:p>
      <w:pPr>
        <w:spacing w:before="156" w:beforeLines="50" w:after="156" w:afterLines="50" w:line="300" w:lineRule="atLeast"/>
        <w:ind w:left="210" w:leftChars="100" w:firstLine="560" w:firstLineChars="200"/>
        <w:jc w:val="left"/>
        <w:rPr>
          <w:rFonts w:hint="eastAsia" w:ascii="Verdana" w:hAnsi="Verdana" w:eastAsia="宋体" w:cs="宋体"/>
          <w:color w:val="000000"/>
          <w:sz w:val="28"/>
          <w:szCs w:val="28"/>
          <w:highlight w:val="none"/>
          <w:lang w:eastAsia="zh-CN"/>
        </w:rPr>
      </w:pPr>
      <w:r>
        <w:rPr>
          <w:rFonts w:hint="eastAsia" w:ascii="Verdana" w:hAnsi="Verdana" w:cs="宋体"/>
          <w:color w:val="000000"/>
          <w:sz w:val="28"/>
          <w:szCs w:val="28"/>
          <w:highlight w:val="none"/>
        </w:rPr>
        <w:t>评价方式：部门（单位）绩效自评</w:t>
      </w:r>
      <w:r>
        <w:rPr>
          <w:rFonts w:hint="eastAsia" w:ascii="Verdana" w:hAnsi="Verdana" w:cs="宋体"/>
          <w:color w:val="000000"/>
          <w:sz w:val="28"/>
          <w:szCs w:val="28"/>
          <w:highlight w:val="none"/>
          <w:lang w:eastAsia="zh-CN"/>
        </w:rPr>
        <w:t>☑</w:t>
      </w:r>
      <w:r>
        <w:rPr>
          <w:rFonts w:hint="eastAsia" w:ascii="Verdana" w:hAnsi="Verdana" w:cs="宋体"/>
          <w:color w:val="000000"/>
          <w:sz w:val="28"/>
          <w:szCs w:val="28"/>
          <w:highlight w:val="none"/>
        </w:rPr>
        <w:t>  财政部门组织评价</w:t>
      </w:r>
      <w:r>
        <w:rPr>
          <w:rFonts w:hint="eastAsia" w:ascii="Segoe UI Symbol" w:hAnsi="Segoe UI Symbol" w:cs="Segoe UI Symbol"/>
          <w:color w:val="000000"/>
          <w:sz w:val="28"/>
          <w:szCs w:val="28"/>
          <w:highlight w:val="none"/>
          <w:lang w:eastAsia="zh-CN"/>
        </w:rPr>
        <w:t>□</w:t>
      </w:r>
    </w:p>
    <w:p>
      <w:pPr>
        <w:spacing w:before="156" w:beforeLines="50" w:after="156" w:afterLines="50" w:line="300" w:lineRule="atLeast"/>
        <w:ind w:left="210" w:leftChars="100" w:firstLine="560" w:firstLineChars="200"/>
        <w:jc w:val="left"/>
        <w:rPr>
          <w:rFonts w:ascii="Verdana" w:hAnsi="Verdana" w:cs="宋体"/>
          <w:color w:val="000000"/>
          <w:sz w:val="28"/>
          <w:szCs w:val="28"/>
          <w:highlight w:val="none"/>
        </w:rPr>
      </w:pPr>
    </w:p>
    <w:p>
      <w:pPr>
        <w:spacing w:before="156" w:beforeLines="50" w:after="156" w:afterLines="50" w:line="400" w:lineRule="exact"/>
        <w:jc w:val="center"/>
        <w:rPr>
          <w:rFonts w:ascii="仿宋" w:hAnsi="仿宋" w:eastAsia="仿宋" w:cs="Verdana"/>
          <w:color w:val="000000"/>
          <w:sz w:val="28"/>
          <w:szCs w:val="28"/>
          <w:highlight w:val="none"/>
        </w:rPr>
      </w:pPr>
    </w:p>
    <w:p>
      <w:pPr>
        <w:spacing w:before="156" w:beforeLines="50" w:after="156" w:afterLines="50" w:line="400" w:lineRule="exact"/>
        <w:jc w:val="center"/>
        <w:rPr>
          <w:rFonts w:ascii="仿宋" w:hAnsi="仿宋" w:eastAsia="仿宋" w:cs="Verdana"/>
          <w:color w:val="000000"/>
          <w:sz w:val="28"/>
          <w:szCs w:val="28"/>
          <w:highlight w:val="none"/>
        </w:rPr>
      </w:pPr>
    </w:p>
    <w:p>
      <w:pPr>
        <w:spacing w:before="156" w:beforeLines="50" w:after="156" w:afterLines="50" w:line="400" w:lineRule="exact"/>
        <w:jc w:val="center"/>
        <w:rPr>
          <w:rFonts w:ascii="仿宋" w:hAnsi="仿宋" w:eastAsia="仿宋" w:cs="Verdana"/>
          <w:color w:val="000000"/>
          <w:sz w:val="28"/>
          <w:szCs w:val="28"/>
          <w:highlight w:val="none"/>
        </w:rPr>
      </w:pPr>
    </w:p>
    <w:p>
      <w:pPr>
        <w:spacing w:before="156" w:beforeLines="50" w:after="156" w:afterLines="50" w:line="400" w:lineRule="exact"/>
        <w:jc w:val="center"/>
        <w:rPr>
          <w:rFonts w:ascii="仿宋" w:hAnsi="仿宋" w:eastAsia="仿宋" w:cs="Verdana"/>
          <w:color w:val="000000"/>
          <w:sz w:val="28"/>
          <w:szCs w:val="28"/>
          <w:highlight w:val="none"/>
        </w:rPr>
      </w:pPr>
    </w:p>
    <w:p>
      <w:pPr>
        <w:widowControl w:val="0"/>
        <w:spacing w:before="156" w:beforeLines="50" w:after="156" w:afterLines="50" w:line="300" w:lineRule="atLeast"/>
        <w:jc w:val="center"/>
        <w:rPr>
          <w:rFonts w:ascii="方正小标宋简体" w:hAnsi="华文中宋" w:eastAsia="方正小标宋简体" w:cs="方正小标宋简体"/>
          <w:kern w:val="2"/>
          <w:sz w:val="36"/>
          <w:highlight w:val="none"/>
        </w:rPr>
        <w:sectPr>
          <w:footerReference r:id="rId7" w:type="first"/>
          <w:headerReference r:id="rId5" w:type="default"/>
          <w:footerReference r:id="rId6" w:type="default"/>
          <w:pgSz w:w="11906" w:h="16838"/>
          <w:pgMar w:top="1417" w:right="1417" w:bottom="1417" w:left="1417" w:header="709" w:footer="907" w:gutter="0"/>
          <w:pgNumType w:fmt="decimal" w:start="1"/>
          <w:cols w:space="720" w:num="1"/>
          <w:docGrid w:type="linesAndChars" w:linePitch="312" w:charSpace="0"/>
        </w:sectPr>
      </w:pPr>
      <w:r>
        <w:rPr>
          <w:rFonts w:hint="eastAsia" w:ascii="宋体" w:hAnsi="宋体" w:cs="宋体"/>
          <w:color w:val="000000"/>
          <w:sz w:val="28"/>
          <w:szCs w:val="28"/>
          <w:highlight w:val="none"/>
        </w:rPr>
        <w:t>202</w:t>
      </w:r>
      <w:r>
        <w:rPr>
          <w:rFonts w:hint="eastAsia" w:ascii="宋体" w:hAnsi="宋体" w:cs="宋体"/>
          <w:color w:val="000000"/>
          <w:sz w:val="28"/>
          <w:szCs w:val="28"/>
          <w:highlight w:val="none"/>
          <w:lang w:val="en-US" w:eastAsia="zh-CN"/>
        </w:rPr>
        <w:t>1</w:t>
      </w:r>
      <w:r>
        <w:rPr>
          <w:rFonts w:hint="eastAsia" w:ascii="宋体" w:hAnsi="宋体" w:cs="宋体"/>
          <w:color w:val="000000"/>
          <w:sz w:val="28"/>
          <w:szCs w:val="28"/>
          <w:highlight w:val="none"/>
        </w:rPr>
        <w:t>年</w:t>
      </w:r>
      <w:r>
        <w:rPr>
          <w:rFonts w:hint="eastAsia" w:ascii="宋体" w:hAnsi="宋体" w:cs="宋体"/>
          <w:color w:val="000000"/>
          <w:sz w:val="28"/>
          <w:szCs w:val="28"/>
          <w:highlight w:val="none"/>
          <w:lang w:val="en-US" w:eastAsia="zh-CN"/>
        </w:rPr>
        <w:t>7</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25</w:t>
      </w:r>
      <w:r>
        <w:rPr>
          <w:rFonts w:hint="eastAsia" w:ascii="宋体" w:hAnsi="宋体" w:cs="宋体"/>
          <w:color w:val="000000"/>
          <w:sz w:val="28"/>
          <w:szCs w:val="28"/>
          <w:highlight w:val="none"/>
        </w:rPr>
        <w:t>日</w:t>
      </w:r>
    </w:p>
    <w:p>
      <w:pPr>
        <w:pStyle w:val="9"/>
        <w:widowControl w:val="0"/>
        <w:tabs>
          <w:tab w:val="right" w:leader="dot" w:pos="9458"/>
        </w:tabs>
        <w:overflowPunct/>
        <w:autoSpaceDE/>
        <w:autoSpaceDN/>
        <w:snapToGrid w:val="0"/>
        <w:spacing w:line="360" w:lineRule="auto"/>
        <w:jc w:val="center"/>
        <w:textAlignment w:val="auto"/>
        <w:rPr>
          <w:rFonts w:ascii="方正小标宋简体" w:hAnsi="华文中宋" w:eastAsia="方正小标宋简体" w:cs="方正小标宋简体"/>
          <w:bCs/>
          <w:kern w:val="2"/>
          <w:sz w:val="36"/>
          <w:szCs w:val="32"/>
          <w:highlight w:val="none"/>
        </w:rPr>
      </w:pPr>
      <w:r>
        <w:rPr>
          <w:rFonts w:hint="eastAsia" w:ascii="方正小标宋简体" w:hAnsi="华文中宋" w:eastAsia="方正小标宋简体" w:cs="方正小标宋简体"/>
          <w:bCs/>
          <w:kern w:val="2"/>
          <w:sz w:val="36"/>
          <w:szCs w:val="32"/>
          <w:highlight w:val="none"/>
        </w:rPr>
        <w:t>前  言</w:t>
      </w: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为强化部门预算支出责任、改善财政支出管理、优化资源配置以及提高公共服务水平，</w:t>
      </w:r>
      <w:r>
        <w:rPr>
          <w:rFonts w:hint="eastAsia" w:ascii="仿宋_GB2312" w:eastAsia="仿宋_GB2312" w:cs="仿宋_GB2312"/>
          <w:sz w:val="32"/>
          <w:szCs w:val="32"/>
          <w:highlight w:val="none"/>
          <w:lang w:eastAsia="zh-CN"/>
        </w:rPr>
        <w:t>济宁市人民政府外事办公室</w:t>
      </w:r>
      <w:r>
        <w:rPr>
          <w:rFonts w:hint="eastAsia" w:ascii="仿宋_GB2312" w:eastAsia="仿宋_GB2312" w:cs="仿宋_GB2312"/>
          <w:sz w:val="32"/>
          <w:szCs w:val="32"/>
          <w:highlight w:val="none"/>
        </w:rPr>
        <w:t>组成了</w:t>
      </w:r>
      <w:r>
        <w:rPr>
          <w:rFonts w:hint="eastAsia" w:ascii="仿宋_GB2312" w:eastAsia="仿宋_GB2312" w:cs="仿宋_GB2312"/>
          <w:sz w:val="32"/>
          <w:szCs w:val="32"/>
          <w:highlight w:val="none"/>
          <w:lang w:eastAsia="zh-CN"/>
        </w:rPr>
        <w:t>相关</w:t>
      </w:r>
      <w:r>
        <w:rPr>
          <w:rFonts w:hint="eastAsia" w:ascii="仿宋_GB2312" w:eastAsia="仿宋_GB2312" w:cs="仿宋_GB2312"/>
          <w:sz w:val="32"/>
          <w:szCs w:val="32"/>
          <w:highlight w:val="none"/>
        </w:rPr>
        <w:t>专业人员的绩效评价小组，坚持“科学、客观、公正”的原则，对</w:t>
      </w:r>
      <w:r>
        <w:rPr>
          <w:rFonts w:hint="eastAsia" w:ascii="仿宋_GB2312" w:eastAsia="仿宋_GB2312" w:cs="仿宋_GB2312"/>
          <w:sz w:val="32"/>
          <w:szCs w:val="32"/>
          <w:highlight w:val="none"/>
          <w:lang w:val="en-US" w:eastAsia="zh-CN"/>
        </w:rPr>
        <w:t>2020</w:t>
      </w:r>
      <w:r>
        <w:rPr>
          <w:rFonts w:hint="eastAsia" w:ascii="仿宋_GB2312" w:eastAsia="仿宋_GB2312" w:cs="仿宋_GB2312"/>
          <w:sz w:val="32"/>
          <w:szCs w:val="32"/>
          <w:highlight w:val="none"/>
          <w:lang w:eastAsia="zh-CN"/>
        </w:rPr>
        <w:t>年</w:t>
      </w:r>
      <w:r>
        <w:rPr>
          <w:rFonts w:hint="eastAsia" w:ascii="仿宋_GB2312" w:eastAsia="仿宋_GB2312" w:cs="仿宋_GB2312"/>
          <w:sz w:val="32"/>
          <w:szCs w:val="32"/>
          <w:highlight w:val="none"/>
          <w:lang w:val="en-US" w:eastAsia="zh-CN"/>
        </w:rPr>
        <w:t>外事工作与友城交流项目、外事数据资源共享系统</w:t>
      </w:r>
      <w:r>
        <w:rPr>
          <w:rFonts w:hint="eastAsia" w:ascii="仿宋_GB2312" w:eastAsia="仿宋_GB2312" w:cs="仿宋_GB2312"/>
          <w:sz w:val="32"/>
          <w:szCs w:val="32"/>
          <w:highlight w:val="none"/>
          <w:lang w:eastAsia="zh-CN"/>
        </w:rPr>
        <w:t>支出</w:t>
      </w:r>
      <w:r>
        <w:rPr>
          <w:rFonts w:hint="eastAsia" w:ascii="仿宋_GB2312" w:eastAsia="仿宋_GB2312" w:cs="仿宋_GB2312"/>
          <w:sz w:val="32"/>
          <w:szCs w:val="32"/>
          <w:highlight w:val="none"/>
        </w:rPr>
        <w:t>实施了绩效评价</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评价等级为</w:t>
      </w:r>
      <w:r>
        <w:rPr>
          <w:rFonts w:hint="eastAsia" w:ascii="仿宋_GB2312" w:eastAsia="仿宋_GB2312" w:cs="仿宋_GB2312"/>
          <w:sz w:val="32"/>
          <w:szCs w:val="32"/>
          <w:highlight w:val="none"/>
          <w:lang w:val="en-US" w:eastAsia="zh-CN"/>
        </w:rPr>
        <w:t>优</w:t>
      </w:r>
      <w:r>
        <w:rPr>
          <w:rFonts w:hint="eastAsia" w:ascii="仿宋_GB2312" w:eastAsia="仿宋_GB2312" w:cs="仿宋_GB2312"/>
          <w:sz w:val="32"/>
          <w:szCs w:val="32"/>
          <w:highlight w:val="none"/>
        </w:rPr>
        <w:t>。</w:t>
      </w: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ind w:firstLine="640" w:firstLineChars="200"/>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textAlignment w:val="baseline"/>
        <w:rPr>
          <w:rFonts w:hint="eastAsia" w:ascii="仿宋_GB2312" w:eastAsia="仿宋_GB2312" w:cs="仿宋_GB2312"/>
          <w:sz w:val="32"/>
          <w:szCs w:val="32"/>
          <w:highlight w:val="none"/>
        </w:rPr>
      </w:pPr>
    </w:p>
    <w:p>
      <w:pPr>
        <w:keepNext w:val="0"/>
        <w:keepLines w:val="0"/>
        <w:pageBreakBefore w:val="0"/>
        <w:widowControl/>
        <w:kinsoku/>
        <w:wordWrap/>
        <w:overflowPunct w:val="0"/>
        <w:topLinePunct w:val="0"/>
        <w:autoSpaceDE w:val="0"/>
        <w:autoSpaceDN w:val="0"/>
        <w:bidi w:val="0"/>
        <w:adjustRightInd w:val="0"/>
        <w:snapToGrid/>
        <w:spacing w:line="600" w:lineRule="exact"/>
        <w:textAlignment w:val="baseline"/>
        <w:rPr>
          <w:rFonts w:hint="eastAsia" w:ascii="仿宋_GB2312" w:eastAsia="仿宋_GB2312" w:cs="仿宋_GB2312"/>
          <w:sz w:val="32"/>
          <w:szCs w:val="32"/>
          <w:highlight w:val="none"/>
        </w:rPr>
      </w:pPr>
    </w:p>
    <w:tbl>
      <w:tblPr>
        <w:tblStyle w:val="13"/>
        <w:tblW w:w="8949" w:type="dxa"/>
        <w:tblInd w:w="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99"/>
        <w:gridCol w:w="900"/>
        <w:gridCol w:w="570"/>
        <w:gridCol w:w="975"/>
        <w:gridCol w:w="1080"/>
        <w:gridCol w:w="1050"/>
        <w:gridCol w:w="1200"/>
        <w:gridCol w:w="750"/>
        <w:gridCol w:w="960"/>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6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外事工作与友城交流</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济宁市人民政府外事办公室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6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济宁市人民政府外事办公室</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27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2967437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29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项目预算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执行情况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5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项目资金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（万元） </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全年预算数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（A） </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全年执行数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执行率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（B/A) </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94.24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94.24</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17.63</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0.19</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当年拨款</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33.44</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33.44</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7.69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60.8</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60.8</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9.94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0.16</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20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75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99" w:type="dxa"/>
            <w:gridSpan w:val="2"/>
            <w:vMerge w:val="restart"/>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年度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总体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目标 </w:t>
            </w:r>
          </w:p>
        </w:tc>
        <w:tc>
          <w:tcPr>
            <w:tcW w:w="3675"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975" w:type="dxa"/>
            <w:gridSpan w:val="4"/>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trPr>
        <w:tc>
          <w:tcPr>
            <w:tcW w:w="1299" w:type="dxa"/>
            <w:gridSpan w:val="2"/>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7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根据外交部、省外办和市委市政府部署做好党宾、国宾和国外友好使者及知名人士的外事接待工作，做好友城因公出访工作，积极拓展友好城市资源，为我市经济、文化、医疗、卫生、教育等务实对外合作搭建桥梁。具体接待次数需根据省外办每次来函后确定时间和资金，该预算是根据以往每年接待情况预计得出。</w:t>
            </w:r>
          </w:p>
        </w:tc>
        <w:tc>
          <w:tcPr>
            <w:tcW w:w="3975"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外事接待10批次，100人次，主要用于接待韩国希杰集团中国区副总裁高锡熙一行、韩国驻青岛总领事等。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99"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绩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p>
        </w:tc>
        <w:tc>
          <w:tcPr>
            <w:tcW w:w="15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9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10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（50分） </w:t>
            </w: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外事接待批次</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10批次</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10批次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接待保障率100%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接待保障率100%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工作开展及时率100%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工作开展及时率100%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外事接待成本费用标准/成本控制率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益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（30分） </w:t>
            </w: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不适用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不适用</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不适用</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0"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积极拓展友好城市资源，为我市经济、文化、医疗、卫生、教育等务实对外合作搭建桥梁</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积极拓展友好城市资源，为我市经济、文化、医疗、卫生、教育等务实对外合作搭建桥梁</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济、文化、医疗、卫生、教育等务实对外合作搭建桥梁</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宣传了济宁的经济、文化、医疗、卫生、教育等，促进友好城市间的交流合作</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满意度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54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4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99"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7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FF"/>
                <w:sz w:val="20"/>
                <w:szCs w:val="20"/>
                <w:u w:val="none"/>
                <w:lang w:val="en-US"/>
              </w:rPr>
            </w:pPr>
            <w:r>
              <w:rPr>
                <w:rFonts w:hint="eastAsia" w:ascii="宋体" w:hAnsi="宋体" w:eastAsia="宋体" w:cs="宋体"/>
                <w:i w:val="0"/>
                <w:color w:val="0000FF"/>
                <w:kern w:val="0"/>
                <w:sz w:val="20"/>
                <w:szCs w:val="20"/>
                <w:u w:val="none"/>
                <w:lang w:val="en-US" w:eastAsia="zh-CN" w:bidi="ar"/>
              </w:rPr>
              <w:t>91.9</w:t>
            </w:r>
          </w:p>
        </w:tc>
        <w:tc>
          <w:tcPr>
            <w:tcW w:w="1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tbl>
      <w:tblPr>
        <w:tblStyle w:val="13"/>
        <w:tblW w:w="7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5"/>
        <w:gridCol w:w="585"/>
        <w:gridCol w:w="570"/>
        <w:gridCol w:w="1125"/>
        <w:gridCol w:w="750"/>
        <w:gridCol w:w="1050"/>
        <w:gridCol w:w="1050"/>
        <w:gridCol w:w="600"/>
        <w:gridCol w:w="1080"/>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4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济宁市外事数据资源共享系统</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济宁市人民政府外事办公室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4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济宁市人民政府外事办公室</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2348804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项目预算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执行情况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项目资金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（万元）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全年预算数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（A） </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全年执行数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 </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执行率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（B/A) </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41.6</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99.04%</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当年拨款</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41.6</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99.04%</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5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年度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总体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目标 </w:t>
            </w:r>
          </w:p>
        </w:tc>
        <w:tc>
          <w:tcPr>
            <w:tcW w:w="34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4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0" w:hRule="atLeast"/>
        </w:trPr>
        <w:tc>
          <w:tcPr>
            <w:tcW w:w="1050" w:type="dxa"/>
            <w:gridSpan w:val="2"/>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9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1）建立科学合理的外事数据共享指标体系，力求全面反映地区涉外工作总体情况： 2）有组织、有计划、持续地对政府涉外部门、各大企业、高校涉外信息资源进行收集、整合，建立全地区涉外信息资源共建、共享的统一管理机制； 3）依托地区电子政务基础设施，充分利用现代信息技术，以科学的外事数据共享指标体系为基础，建设支持政府涉外基础数据库系统，提高信息资源的建设、管理和共建共享能力； 4）数据互通：充分利用现代信息网络技术实现涉外数据的整理、分析、汇总。</w:t>
            </w:r>
          </w:p>
        </w:tc>
        <w:tc>
          <w:tcPr>
            <w:tcW w:w="34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有组织、有计划、持续地对政府涉外部门、各大企业、高校涉外信息资源进行收集、整合，为建立全地区涉外信息资源共建、共享的统一管理机制做准备。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5"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绩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p>
        </w:tc>
        <w:tc>
          <w:tcPr>
            <w:tcW w:w="585"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一级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p>
        </w:tc>
        <w:tc>
          <w:tcPr>
            <w:tcW w:w="169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实际完成值</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得分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出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（50分） </w:t>
            </w: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完成时间</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2020年底完成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2020年底完成</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成本控制情况</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≤42万元</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41.6万元</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效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益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（30分） </w:t>
            </w: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不适用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提高其涉外决策水平，促进外事工作持续、稳定、</w:t>
            </w:r>
            <w:r>
              <w:rPr>
                <w:rFonts w:hint="eastAsia" w:ascii="宋体" w:hAnsi="宋体" w:eastAsia="宋体" w:cs="宋体"/>
                <w:i w:val="0"/>
                <w:color w:val="000000"/>
                <w:sz w:val="20"/>
                <w:szCs w:val="20"/>
                <w:u w:val="none"/>
                <w:lang w:eastAsia="zh-CN"/>
              </w:rPr>
              <w:t>健</w:t>
            </w:r>
            <w:r>
              <w:rPr>
                <w:rFonts w:hint="eastAsia" w:ascii="宋体" w:hAnsi="宋体" w:eastAsia="宋体" w:cs="宋体"/>
                <w:i w:val="0"/>
                <w:color w:val="000000"/>
                <w:sz w:val="20"/>
                <w:szCs w:val="20"/>
                <w:u w:val="none"/>
              </w:rPr>
              <w:t>康发展，增强政府工作的透明度，迸一步改善为民服务的质量和效率。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完成准备工作</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提高其涉外决策水平，促进外事工作持续、稳定、</w:t>
            </w:r>
            <w:bookmarkStart w:id="6" w:name="_GoBack"/>
            <w:bookmarkEnd w:id="6"/>
            <w:r>
              <w:rPr>
                <w:rFonts w:hint="eastAsia" w:ascii="宋体" w:hAnsi="宋体" w:eastAsia="宋体" w:cs="宋体"/>
                <w:i w:val="0"/>
                <w:color w:val="000000"/>
                <w:sz w:val="20"/>
                <w:szCs w:val="20"/>
                <w:u w:val="none"/>
                <w:lang w:eastAsia="zh-CN"/>
              </w:rPr>
              <w:t>健康</w:t>
            </w:r>
            <w:r>
              <w:rPr>
                <w:rFonts w:hint="eastAsia" w:ascii="宋体" w:hAnsi="宋体" w:eastAsia="宋体" w:cs="宋体"/>
                <w:i w:val="0"/>
                <w:color w:val="000000"/>
                <w:sz w:val="20"/>
                <w:szCs w:val="20"/>
                <w:u w:val="none"/>
              </w:rPr>
              <w:t>发展，增强政府工作的透明度，迸一步改善为民服务的质量和效率。</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做好系统应用的准备工作及信息收集工作</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做好系统应用的准备工作及信息收集工作</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满意度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指标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（10分 </w:t>
            </w:r>
          </w:p>
        </w:tc>
        <w:tc>
          <w:tcPr>
            <w:tcW w:w="16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465"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13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
              </w:rPr>
              <w:t>99.9</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spacing w:line="580" w:lineRule="exact"/>
        <w:jc w:val="center"/>
        <w:rPr>
          <w:rFonts w:hint="eastAsia" w:ascii="方正小标宋简体" w:hAnsi="方正小标宋简体" w:eastAsia="方正小标宋简体" w:cs="方正小标宋简体"/>
          <w:sz w:val="44"/>
          <w:szCs w:val="44"/>
        </w:rPr>
      </w:pPr>
      <w:bookmarkStart w:id="0" w:name="_Toc9913_WPSOffice_Level1"/>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年度</w:t>
      </w:r>
      <w:bookmarkEnd w:id="0"/>
      <w:bookmarkStart w:id="1" w:name="_Toc25107_WPSOffice_Level1"/>
      <w:r>
        <w:rPr>
          <w:rFonts w:hint="eastAsia" w:ascii="方正小标宋简体" w:hAnsi="方正小标宋简体" w:eastAsia="方正小标宋简体" w:cs="方正小标宋简体"/>
          <w:sz w:val="44"/>
          <w:szCs w:val="44"/>
          <w:lang w:eastAsia="zh-CN"/>
        </w:rPr>
        <w:t>济宁市人民政府外事办公室</w:t>
      </w:r>
      <w:r>
        <w:rPr>
          <w:rFonts w:hint="eastAsia" w:ascii="方正小标宋简体" w:hAnsi="方正小标宋简体" w:eastAsia="方正小标宋简体" w:cs="方正小标宋简体"/>
          <w:sz w:val="44"/>
          <w:szCs w:val="44"/>
        </w:rPr>
        <w:t>绩效评价报告</w:t>
      </w:r>
      <w:bookmarkEnd w:id="1"/>
    </w:p>
    <w:p>
      <w:pPr>
        <w:spacing w:line="580" w:lineRule="exact"/>
        <w:jc w:val="both"/>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黑体" w:cs="Times New Roman"/>
          <w:b/>
          <w:bCs/>
          <w:sz w:val="32"/>
          <w:szCs w:val="32"/>
          <w:lang w:val="en-US" w:eastAsia="zh-CN"/>
        </w:rPr>
      </w:pPr>
      <w:bookmarkStart w:id="2" w:name="_Toc20725_WPSOffice_Level1"/>
      <w:r>
        <w:rPr>
          <w:rFonts w:hint="default" w:ascii="Times New Roman" w:hAnsi="Times New Roman" w:eastAsia="黑体" w:cs="Times New Roman"/>
          <w:b/>
          <w:bCs/>
          <w:sz w:val="32"/>
          <w:szCs w:val="32"/>
          <w:lang w:val="en-US" w:eastAsia="zh-CN"/>
        </w:rPr>
        <w:t>一、项目</w:t>
      </w:r>
      <w:r>
        <w:rPr>
          <w:rFonts w:hint="eastAsia" w:ascii="Times New Roman" w:hAnsi="Times New Roman" w:eastAsia="黑体" w:cs="Times New Roman"/>
          <w:b/>
          <w:bCs/>
          <w:sz w:val="32"/>
          <w:szCs w:val="32"/>
          <w:lang w:val="en-US" w:eastAsia="zh-CN"/>
        </w:rPr>
        <w:t>概况</w:t>
      </w:r>
      <w:bookmarkEnd w:id="2"/>
    </w:p>
    <w:p>
      <w:pPr>
        <w:spacing w:line="580" w:lineRule="exact"/>
        <w:ind w:firstLine="643" w:firstLineChars="200"/>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济宁市人民政府外事办公室项目经费包括外事交流与友城工作项目、济宁市外事数据资源共享系统项目。外事交流与友城工作项目主要是做好党宾、国宾和国外友好使者及知名人士的外事接待工作，做好友城因公出访工作，积极拓展友好城市资源，为我市经济、文化、医疗、卫生、教育等务实对外合作搭建桥梁。</w:t>
      </w:r>
      <w:bookmarkStart w:id="3" w:name="_Toc8238_WPSOffice_Level1"/>
      <w:r>
        <w:rPr>
          <w:rFonts w:hint="eastAsia" w:ascii="Times New Roman" w:hAnsi="Times New Roman" w:eastAsia="方正仿宋简体" w:cs="Times New Roman"/>
          <w:b/>
          <w:bCs/>
          <w:sz w:val="32"/>
          <w:szCs w:val="32"/>
          <w:lang w:val="en-US" w:eastAsia="zh-CN"/>
        </w:rPr>
        <w:t>济宁市外事数据资源共享系统项目主要是建立科学合理的外事数据共享指标体系，力求全面反映地区涉外工作总体情况；有组织、有计划、持续地对政府涉外部门、各大企业、高校涉外信息资源进行收集、整合，建立全地区涉外信息资源共建、共享的统一管理机制；依托地区电子政务基础设施，充分利用现代信息技术，以科学的外事数据共享指标体系为基础，建设支持政府涉外基础数据库系统，提高信息资源的建设、管理和共建共享能力；数据互通：充分利用现代信息网络技术实现涉外数据的整理、分析、汇总。</w:t>
      </w:r>
    </w:p>
    <w:p>
      <w:pPr>
        <w:spacing w:line="58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二、绩效目标完成情况分析</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（一）资金投入情况分析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sz w:val="32"/>
          <w:szCs w:val="32"/>
          <w:lang w:val="en-US" w:eastAsia="zh-CN"/>
        </w:rPr>
        <w:t>济宁市人民政府外事办公室2020年度年初预算136.24万元，其中当年财政拨款75.44万元，上年结转60.8万元；全年执行59.23万元，外事工作与友城交流项目涉及资金17.63万元，济宁市外事数据资源共享系统涉及资金41.6万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right="0" w:rightChars="0" w:firstLine="643" w:firstLineChars="200"/>
        <w:jc w:val="both"/>
        <w:textAlignment w:val="auto"/>
        <w:outlineLvl w:val="9"/>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在外事交流与友城工作方面，外事接待10批次，100人次，主要用于接待韩国希杰集团中国区副总裁高锡熙一行、韩国驻青岛总领事等。</w:t>
      </w:r>
      <w:r>
        <w:rPr>
          <w:rFonts w:hint="eastAsia" w:ascii="Times New Roman" w:hAnsi="Times New Roman" w:eastAsia="方正仿宋简体" w:cs="Times New Roman"/>
          <w:b/>
          <w:bCs w:val="0"/>
          <w:sz w:val="32"/>
          <w:szCs w:val="32"/>
          <w:lang w:val="en-US" w:eastAsia="zh-CN"/>
        </w:rPr>
        <w:t>外事数据资源共享系统已</w:t>
      </w:r>
      <w:r>
        <w:rPr>
          <w:rFonts w:hint="eastAsia" w:ascii="Times New Roman" w:hAnsi="Times New Roman" w:eastAsia="方正仿宋简体" w:cs="Times New Roman"/>
          <w:b/>
          <w:bCs/>
          <w:color w:val="auto"/>
          <w:sz w:val="32"/>
          <w:szCs w:val="32"/>
          <w:lang w:val="en-US" w:eastAsia="zh-CN"/>
        </w:rPr>
        <w:t>有组织、有计划、持续地对政府涉外部门、各大企业、高校涉外信息资源进行收集、整合，为建立全地区涉外信息资源共建、共享的统一管理机制做了充分准备。</w:t>
      </w:r>
    </w:p>
    <w:p>
      <w:pPr>
        <w:spacing w:line="580" w:lineRule="exact"/>
        <w:ind w:firstLine="643" w:firstLineChars="200"/>
        <w:rPr>
          <w:rFonts w:hint="eastAsia" w:ascii="黑体" w:hAnsi="黑体" w:eastAsia="黑体" w:cs="黑体"/>
          <w:b/>
          <w:bCs w:val="0"/>
          <w:sz w:val="32"/>
          <w:szCs w:val="32"/>
          <w:lang w:val="en-US" w:eastAsia="zh-CN"/>
        </w:rPr>
      </w:pPr>
      <w:bookmarkStart w:id="4" w:name="_Toc8916_WPSOffice_Level1"/>
      <w:r>
        <w:rPr>
          <w:rFonts w:hint="eastAsia" w:ascii="黑体" w:hAnsi="黑体" w:eastAsia="黑体" w:cs="黑体"/>
          <w:b/>
          <w:bCs w:val="0"/>
          <w:sz w:val="32"/>
          <w:szCs w:val="32"/>
          <w:lang w:val="en-US" w:eastAsia="zh-CN"/>
        </w:rPr>
        <w:t>三、偏离绩效目标的原因和下一步改进措施</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从完成情况看，绩效目标有序开展，执行和完成情况较好，资金使用比较规范，但也存在结转资金使用不及时等问题。下一步，进一步提升项目支出绩效管理的重视程度，不断提升工作效率。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firstLine="321" w:firstLineChars="100"/>
        <w:jc w:val="both"/>
        <w:textAlignment w:val="auto"/>
        <w:outlineLvl w:val="9"/>
        <w:rPr>
          <w:rFonts w:hint="eastAsia" w:ascii="Times New Roman" w:hAnsi="Times New Roman" w:eastAsia="方正仿宋简体" w:cs="Times New Roman"/>
          <w:b/>
          <w:bCs/>
          <w:sz w:val="32"/>
          <w:szCs w:val="32"/>
          <w:lang w:val="en-US" w:eastAsia="zh-CN"/>
        </w:rPr>
      </w:pPr>
      <w:bookmarkStart w:id="5" w:name="_Toc15907_WPSOffice_Level1"/>
      <w:r>
        <w:rPr>
          <w:rFonts w:hint="eastAsia" w:ascii="黑体" w:hAnsi="黑体" w:eastAsia="黑体" w:cs="黑体"/>
          <w:b/>
          <w:bCs w:val="0"/>
          <w:sz w:val="32"/>
          <w:szCs w:val="32"/>
          <w:lang w:val="en-US" w:eastAsia="zh-CN"/>
        </w:rPr>
        <w:t>四、绩效自评结果拟应用和公开情况</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 xml:space="preserve"> 绩效自评结果将作为以后年度项目立项和经费支持的重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要依据，对绩效自评结果与实际情况出入较大或绩效较差的项目，将及时进行整改，避免影响项目资金预算。严格按照财政部门的统一要求，对绩效评价情况予以公开。</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仿宋" w:hAnsi="仿宋" w:eastAsia="仿宋" w:cs="仿宋"/>
          <w:sz w:val="24"/>
          <w:szCs w:val="24"/>
          <w:highlight w:val="none"/>
          <w:lang w:val="en-US" w:eastAsia="zh-CN"/>
        </w:rPr>
      </w:pPr>
    </w:p>
    <w:p>
      <w:pPr>
        <w:jc w:val="both"/>
        <w:rPr>
          <w:rFonts w:ascii="仿宋_GB2312" w:eastAsia="仿宋_GB2312"/>
          <w:sz w:val="32"/>
          <w:szCs w:val="32"/>
        </w:rPr>
      </w:pPr>
    </w:p>
    <w:sectPr>
      <w:footerReference r:id="rId8" w:type="default"/>
      <w:footerReference r:id="rId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modern"/>
    <w:pitch w:val="default"/>
    <w:sig w:usb0="A00002EF" w:usb1="4000004B" w:usb2="00000000" w:usb3="00000000" w:csb0="2000009F"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10006FF" w:usb1="4000205B" w:usb2="00000010" w:usb3="00000000" w:csb0="2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50</w:t>
    </w:r>
    <w:r>
      <w:rPr>
        <w:rFonts w:ascii="宋体" w:hAnsi="宋体"/>
        <w:sz w:val="28"/>
        <w:szCs w:val="28"/>
      </w:rPr>
      <w:fldChar w:fldCharType="end"/>
    </w:r>
    <w:r>
      <w:rPr>
        <w:rFonts w:hint="eastAsia" w:ascii="宋体" w:hAnsi="宋体"/>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2100" w:firstLineChars="10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1059"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86D2C"/>
    <w:multiLevelType w:val="singleLevel"/>
    <w:tmpl w:val="FE686D2C"/>
    <w:lvl w:ilvl="0" w:tentative="0">
      <w:start w:val="2"/>
      <w:numFmt w:val="chineseCounting"/>
      <w:suff w:val="nothing"/>
      <w:lvlText w:val="（%1）"/>
      <w:lvlJc w:val="left"/>
      <w:rPr>
        <w:rFonts w:hint="eastAsia"/>
      </w:rPr>
    </w:lvl>
  </w:abstractNum>
  <w:abstractNum w:abstractNumId="1">
    <w:nsid w:val="0D93EB51"/>
    <w:multiLevelType w:val="singleLevel"/>
    <w:tmpl w:val="0D93EB5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3"/>
  <w:drawingGridVerticalSpacing w:val="30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wZWE5NDRjZWZjZmY1OWI0YWI3ZGZlYmNiMzgzNzgifQ=="/>
  </w:docVars>
  <w:rsids>
    <w:rsidRoot w:val="00834440"/>
    <w:rsid w:val="00003E5B"/>
    <w:rsid w:val="00006FF7"/>
    <w:rsid w:val="0001197D"/>
    <w:rsid w:val="00027A87"/>
    <w:rsid w:val="000328FA"/>
    <w:rsid w:val="000345DF"/>
    <w:rsid w:val="00046FD8"/>
    <w:rsid w:val="00066AF4"/>
    <w:rsid w:val="00074B56"/>
    <w:rsid w:val="00080697"/>
    <w:rsid w:val="0009340D"/>
    <w:rsid w:val="000A4A01"/>
    <w:rsid w:val="000B24AD"/>
    <w:rsid w:val="000C668A"/>
    <w:rsid w:val="000F299F"/>
    <w:rsid w:val="000F3B1D"/>
    <w:rsid w:val="00107705"/>
    <w:rsid w:val="001124E9"/>
    <w:rsid w:val="00124F11"/>
    <w:rsid w:val="00124FD4"/>
    <w:rsid w:val="00135D6F"/>
    <w:rsid w:val="00136400"/>
    <w:rsid w:val="001461DD"/>
    <w:rsid w:val="00147D1A"/>
    <w:rsid w:val="00147FE9"/>
    <w:rsid w:val="0015052F"/>
    <w:rsid w:val="00150B20"/>
    <w:rsid w:val="00151522"/>
    <w:rsid w:val="00173140"/>
    <w:rsid w:val="00187893"/>
    <w:rsid w:val="001A33D7"/>
    <w:rsid w:val="001B797C"/>
    <w:rsid w:val="001C512A"/>
    <w:rsid w:val="001C7AAD"/>
    <w:rsid w:val="001E156C"/>
    <w:rsid w:val="00203023"/>
    <w:rsid w:val="00211108"/>
    <w:rsid w:val="00211415"/>
    <w:rsid w:val="00230421"/>
    <w:rsid w:val="002332CA"/>
    <w:rsid w:val="002341AC"/>
    <w:rsid w:val="00246365"/>
    <w:rsid w:val="00250D29"/>
    <w:rsid w:val="00252592"/>
    <w:rsid w:val="00287E57"/>
    <w:rsid w:val="00291093"/>
    <w:rsid w:val="002C14BE"/>
    <w:rsid w:val="002C37F7"/>
    <w:rsid w:val="002D3F33"/>
    <w:rsid w:val="002E1DFD"/>
    <w:rsid w:val="002E3EF1"/>
    <w:rsid w:val="003113C7"/>
    <w:rsid w:val="0031641E"/>
    <w:rsid w:val="00324811"/>
    <w:rsid w:val="00336092"/>
    <w:rsid w:val="0035121D"/>
    <w:rsid w:val="00377EFE"/>
    <w:rsid w:val="0039152C"/>
    <w:rsid w:val="0039416A"/>
    <w:rsid w:val="003A6F38"/>
    <w:rsid w:val="003B207E"/>
    <w:rsid w:val="003C149E"/>
    <w:rsid w:val="003D055A"/>
    <w:rsid w:val="003F683C"/>
    <w:rsid w:val="00417AB3"/>
    <w:rsid w:val="004251AA"/>
    <w:rsid w:val="00450E1C"/>
    <w:rsid w:val="00457392"/>
    <w:rsid w:val="0046235E"/>
    <w:rsid w:val="004746CA"/>
    <w:rsid w:val="00484012"/>
    <w:rsid w:val="0049167E"/>
    <w:rsid w:val="004B21DB"/>
    <w:rsid w:val="004D7F4B"/>
    <w:rsid w:val="004F6AC3"/>
    <w:rsid w:val="00504CEA"/>
    <w:rsid w:val="00533CEC"/>
    <w:rsid w:val="005370A7"/>
    <w:rsid w:val="00543695"/>
    <w:rsid w:val="00560997"/>
    <w:rsid w:val="00577A60"/>
    <w:rsid w:val="00585CF6"/>
    <w:rsid w:val="005878A1"/>
    <w:rsid w:val="005C5EBA"/>
    <w:rsid w:val="006228B9"/>
    <w:rsid w:val="0065353C"/>
    <w:rsid w:val="006745FA"/>
    <w:rsid w:val="00676262"/>
    <w:rsid w:val="006A4CEC"/>
    <w:rsid w:val="006B0A06"/>
    <w:rsid w:val="006B6B2F"/>
    <w:rsid w:val="006C3684"/>
    <w:rsid w:val="006C79F1"/>
    <w:rsid w:val="006D68CE"/>
    <w:rsid w:val="0070713A"/>
    <w:rsid w:val="00727759"/>
    <w:rsid w:val="00756BB9"/>
    <w:rsid w:val="00762471"/>
    <w:rsid w:val="00762BCE"/>
    <w:rsid w:val="00765553"/>
    <w:rsid w:val="00770D38"/>
    <w:rsid w:val="00772737"/>
    <w:rsid w:val="00772BA7"/>
    <w:rsid w:val="00790286"/>
    <w:rsid w:val="00796669"/>
    <w:rsid w:val="007B2D34"/>
    <w:rsid w:val="007B7872"/>
    <w:rsid w:val="007C5B9D"/>
    <w:rsid w:val="008023CF"/>
    <w:rsid w:val="0081323F"/>
    <w:rsid w:val="00823CDE"/>
    <w:rsid w:val="008241CB"/>
    <w:rsid w:val="00824880"/>
    <w:rsid w:val="0082653B"/>
    <w:rsid w:val="00834440"/>
    <w:rsid w:val="00840941"/>
    <w:rsid w:val="0084275E"/>
    <w:rsid w:val="008545C6"/>
    <w:rsid w:val="00857E55"/>
    <w:rsid w:val="008857D8"/>
    <w:rsid w:val="008C2CB9"/>
    <w:rsid w:val="0091139F"/>
    <w:rsid w:val="00914BD8"/>
    <w:rsid w:val="00941B09"/>
    <w:rsid w:val="00946D7B"/>
    <w:rsid w:val="00967BEA"/>
    <w:rsid w:val="00986BB5"/>
    <w:rsid w:val="009B0DA3"/>
    <w:rsid w:val="009C32F1"/>
    <w:rsid w:val="009C5B96"/>
    <w:rsid w:val="009D4DDA"/>
    <w:rsid w:val="009E3107"/>
    <w:rsid w:val="009E4B06"/>
    <w:rsid w:val="00A23A6E"/>
    <w:rsid w:val="00A401E6"/>
    <w:rsid w:val="00A60E3D"/>
    <w:rsid w:val="00A86066"/>
    <w:rsid w:val="00A9359D"/>
    <w:rsid w:val="00AA7833"/>
    <w:rsid w:val="00AC3D9B"/>
    <w:rsid w:val="00AC4FCE"/>
    <w:rsid w:val="00AC7F84"/>
    <w:rsid w:val="00AD430D"/>
    <w:rsid w:val="00AF66C3"/>
    <w:rsid w:val="00B0646E"/>
    <w:rsid w:val="00B20EE8"/>
    <w:rsid w:val="00B23C3D"/>
    <w:rsid w:val="00B24E0E"/>
    <w:rsid w:val="00B60B53"/>
    <w:rsid w:val="00B641F1"/>
    <w:rsid w:val="00B64536"/>
    <w:rsid w:val="00B740D0"/>
    <w:rsid w:val="00B83A79"/>
    <w:rsid w:val="00B9411C"/>
    <w:rsid w:val="00BA0296"/>
    <w:rsid w:val="00BA6768"/>
    <w:rsid w:val="00BB007F"/>
    <w:rsid w:val="00BB0FCA"/>
    <w:rsid w:val="00BE75BF"/>
    <w:rsid w:val="00BF0F72"/>
    <w:rsid w:val="00BF0FAD"/>
    <w:rsid w:val="00C02AEE"/>
    <w:rsid w:val="00C5351E"/>
    <w:rsid w:val="00C57771"/>
    <w:rsid w:val="00C57FB8"/>
    <w:rsid w:val="00C7067D"/>
    <w:rsid w:val="00C7441E"/>
    <w:rsid w:val="00CB679D"/>
    <w:rsid w:val="00CC162C"/>
    <w:rsid w:val="00CC33FB"/>
    <w:rsid w:val="00CC36CA"/>
    <w:rsid w:val="00CC43BE"/>
    <w:rsid w:val="00CC5922"/>
    <w:rsid w:val="00CD35EE"/>
    <w:rsid w:val="00CD380D"/>
    <w:rsid w:val="00CE3890"/>
    <w:rsid w:val="00CF1C91"/>
    <w:rsid w:val="00D01BCA"/>
    <w:rsid w:val="00D13430"/>
    <w:rsid w:val="00D15268"/>
    <w:rsid w:val="00D17472"/>
    <w:rsid w:val="00D1769C"/>
    <w:rsid w:val="00D17C29"/>
    <w:rsid w:val="00D516F3"/>
    <w:rsid w:val="00D61F63"/>
    <w:rsid w:val="00D745F7"/>
    <w:rsid w:val="00D86C5A"/>
    <w:rsid w:val="00D94351"/>
    <w:rsid w:val="00D96B6C"/>
    <w:rsid w:val="00DA2B56"/>
    <w:rsid w:val="00DA4DFE"/>
    <w:rsid w:val="00DA6582"/>
    <w:rsid w:val="00DC4A12"/>
    <w:rsid w:val="00DC4F2C"/>
    <w:rsid w:val="00DC6101"/>
    <w:rsid w:val="00DC712E"/>
    <w:rsid w:val="00DC76D6"/>
    <w:rsid w:val="00DC7E1B"/>
    <w:rsid w:val="00DF624E"/>
    <w:rsid w:val="00E0706F"/>
    <w:rsid w:val="00E4100E"/>
    <w:rsid w:val="00E43CAE"/>
    <w:rsid w:val="00E702ED"/>
    <w:rsid w:val="00E72D6A"/>
    <w:rsid w:val="00E75ED5"/>
    <w:rsid w:val="00E76695"/>
    <w:rsid w:val="00E952DB"/>
    <w:rsid w:val="00EB656E"/>
    <w:rsid w:val="00EB793C"/>
    <w:rsid w:val="00EF76F9"/>
    <w:rsid w:val="00F0671C"/>
    <w:rsid w:val="00F32ACC"/>
    <w:rsid w:val="00F4023D"/>
    <w:rsid w:val="00F4319D"/>
    <w:rsid w:val="00F50DA7"/>
    <w:rsid w:val="00F70F13"/>
    <w:rsid w:val="00F818F5"/>
    <w:rsid w:val="00F93421"/>
    <w:rsid w:val="00F94037"/>
    <w:rsid w:val="00F94085"/>
    <w:rsid w:val="00FB04A3"/>
    <w:rsid w:val="00FB18F7"/>
    <w:rsid w:val="00FD2501"/>
    <w:rsid w:val="00FE1E6C"/>
    <w:rsid w:val="00FE629B"/>
    <w:rsid w:val="00FE7C77"/>
    <w:rsid w:val="01526ABB"/>
    <w:rsid w:val="028C49A9"/>
    <w:rsid w:val="04762D56"/>
    <w:rsid w:val="051E13C5"/>
    <w:rsid w:val="06D50AF1"/>
    <w:rsid w:val="0AB24B18"/>
    <w:rsid w:val="0E8457DE"/>
    <w:rsid w:val="0FF202CB"/>
    <w:rsid w:val="11DF225F"/>
    <w:rsid w:val="12334C32"/>
    <w:rsid w:val="184B5B6A"/>
    <w:rsid w:val="1B4607FB"/>
    <w:rsid w:val="1BEF5908"/>
    <w:rsid w:val="1E515DFB"/>
    <w:rsid w:val="1F421747"/>
    <w:rsid w:val="1FFF9150"/>
    <w:rsid w:val="20F1259A"/>
    <w:rsid w:val="272F5C70"/>
    <w:rsid w:val="28970A9D"/>
    <w:rsid w:val="296B1F38"/>
    <w:rsid w:val="2CE5FAF0"/>
    <w:rsid w:val="2EE94BBE"/>
    <w:rsid w:val="31863ECE"/>
    <w:rsid w:val="31A359FC"/>
    <w:rsid w:val="35235DF7"/>
    <w:rsid w:val="376400EB"/>
    <w:rsid w:val="38403430"/>
    <w:rsid w:val="3A7D4DF0"/>
    <w:rsid w:val="3ADE105D"/>
    <w:rsid w:val="3DBD2D59"/>
    <w:rsid w:val="3E1F757A"/>
    <w:rsid w:val="3FBF7152"/>
    <w:rsid w:val="414A30E4"/>
    <w:rsid w:val="43583C7F"/>
    <w:rsid w:val="47DC5714"/>
    <w:rsid w:val="4919317B"/>
    <w:rsid w:val="4F912E1A"/>
    <w:rsid w:val="53CB1469"/>
    <w:rsid w:val="53D14D05"/>
    <w:rsid w:val="55DD6755"/>
    <w:rsid w:val="5F76F271"/>
    <w:rsid w:val="5FEB7FAD"/>
    <w:rsid w:val="61FC38B4"/>
    <w:rsid w:val="622711DA"/>
    <w:rsid w:val="63F16291"/>
    <w:rsid w:val="6475299B"/>
    <w:rsid w:val="671962B5"/>
    <w:rsid w:val="67A27113"/>
    <w:rsid w:val="67BF644C"/>
    <w:rsid w:val="6AD2578D"/>
    <w:rsid w:val="6EAFDAE6"/>
    <w:rsid w:val="6FA50BB3"/>
    <w:rsid w:val="71FB89C4"/>
    <w:rsid w:val="725F6594"/>
    <w:rsid w:val="75E24B42"/>
    <w:rsid w:val="777D496C"/>
    <w:rsid w:val="79B54F29"/>
    <w:rsid w:val="7BFFA372"/>
    <w:rsid w:val="7D705B5B"/>
    <w:rsid w:val="7FAB7ECF"/>
    <w:rsid w:val="7FB7DA93"/>
    <w:rsid w:val="7FFE0925"/>
    <w:rsid w:val="8EFF4669"/>
    <w:rsid w:val="EB9FFA87"/>
    <w:rsid w:val="EFEF67CB"/>
    <w:rsid w:val="F7F74A7A"/>
    <w:rsid w:val="F7FB7DDA"/>
    <w:rsid w:val="FF686A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Document Map"/>
    <w:basedOn w:val="1"/>
    <w:link w:val="33"/>
    <w:qFormat/>
    <w:uiPriority w:val="0"/>
    <w:rPr>
      <w:rFonts w:ascii="宋体"/>
      <w:sz w:val="18"/>
      <w:szCs w:val="18"/>
    </w:rPr>
  </w:style>
  <w:style w:type="paragraph" w:styleId="3">
    <w:name w:val="Body Text"/>
    <w:basedOn w:val="1"/>
    <w:link w:val="21"/>
    <w:qFormat/>
    <w:uiPriority w:val="0"/>
    <w:pPr>
      <w:spacing w:after="120"/>
    </w:pPr>
    <w:rPr>
      <w:rFonts w:ascii="Times New Roman" w:hAnsi="Times New Roman" w:eastAsia="宋体" w:cs="Times New Roman"/>
      <w:szCs w:val="24"/>
    </w:rPr>
  </w:style>
  <w:style w:type="paragraph" w:styleId="4">
    <w:name w:val="Date"/>
    <w:basedOn w:val="1"/>
    <w:next w:val="1"/>
    <w:link w:val="20"/>
    <w:unhideWhenUsed/>
    <w:qFormat/>
    <w:uiPriority w:val="99"/>
    <w:pPr>
      <w:ind w:left="100" w:leftChars="2500"/>
    </w:pPr>
  </w:style>
  <w:style w:type="paragraph" w:styleId="5">
    <w:name w:val="Body Text Indent 2"/>
    <w:basedOn w:val="1"/>
    <w:link w:val="34"/>
    <w:qFormat/>
    <w:uiPriority w:val="0"/>
    <w:pPr>
      <w:ind w:firstLine="640" w:firstLineChars="200"/>
    </w:pPr>
    <w:rPr>
      <w:rFonts w:ascii="楷体_GB2312" w:hAnsi="Courier New" w:eastAsia="楷体_GB2312"/>
      <w:sz w:val="32"/>
    </w:rPr>
  </w:style>
  <w:style w:type="paragraph" w:styleId="6">
    <w:name w:val="Balloon Text"/>
    <w:basedOn w:val="1"/>
    <w:link w:val="22"/>
    <w:unhideWhenUsed/>
    <w:qFormat/>
    <w:uiPriority w:val="0"/>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Subtitle"/>
    <w:basedOn w:val="1"/>
    <w:next w:val="1"/>
    <w:link w:val="36"/>
    <w:qFormat/>
    <w:uiPriority w:val="11"/>
    <w:pPr>
      <w:spacing w:before="240" w:after="60" w:line="312" w:lineRule="auto"/>
      <w:jc w:val="center"/>
      <w:outlineLvl w:val="1"/>
    </w:pPr>
    <w:rPr>
      <w:rFonts w:ascii="Cambria" w:hAnsi="Cambria"/>
      <w:b/>
      <w:bCs/>
      <w:kern w:val="28"/>
      <w:sz w:val="32"/>
      <w:szCs w:val="32"/>
    </w:rPr>
  </w:style>
  <w:style w:type="paragraph" w:styleId="1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link w:val="35"/>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page number"/>
    <w:basedOn w:val="15"/>
    <w:qFormat/>
    <w:uiPriority w:val="0"/>
  </w:style>
  <w:style w:type="character" w:customStyle="1" w:styleId="18">
    <w:name w:val="页眉 Char"/>
    <w:basedOn w:val="15"/>
    <w:link w:val="8"/>
    <w:qFormat/>
    <w:uiPriority w:val="0"/>
    <w:rPr>
      <w:sz w:val="18"/>
      <w:szCs w:val="18"/>
    </w:rPr>
  </w:style>
  <w:style w:type="character" w:customStyle="1" w:styleId="19">
    <w:name w:val="页脚 Char"/>
    <w:basedOn w:val="15"/>
    <w:link w:val="7"/>
    <w:qFormat/>
    <w:uiPriority w:val="0"/>
    <w:rPr>
      <w:sz w:val="18"/>
      <w:szCs w:val="18"/>
    </w:rPr>
  </w:style>
  <w:style w:type="character" w:customStyle="1" w:styleId="20">
    <w:name w:val="日期 Char"/>
    <w:basedOn w:val="15"/>
    <w:link w:val="4"/>
    <w:semiHidden/>
    <w:qFormat/>
    <w:uiPriority w:val="99"/>
  </w:style>
  <w:style w:type="character" w:customStyle="1" w:styleId="21">
    <w:name w:val="正文文本 Char"/>
    <w:basedOn w:val="15"/>
    <w:link w:val="3"/>
    <w:qFormat/>
    <w:uiPriority w:val="0"/>
    <w:rPr>
      <w:rFonts w:ascii="Times New Roman" w:hAnsi="Times New Roman" w:eastAsia="宋体" w:cs="Times New Roman"/>
      <w:szCs w:val="24"/>
    </w:rPr>
  </w:style>
  <w:style w:type="character" w:customStyle="1" w:styleId="22">
    <w:name w:val="批注框文本 Char"/>
    <w:basedOn w:val="15"/>
    <w:link w:val="6"/>
    <w:semiHidden/>
    <w:qFormat/>
    <w:uiPriority w:val="0"/>
    <w:rPr>
      <w:sz w:val="18"/>
      <w:szCs w:val="18"/>
    </w:rPr>
  </w:style>
  <w:style w:type="paragraph" w:customStyle="1" w:styleId="23">
    <w:name w:val="List Paragraph"/>
    <w:basedOn w:val="1"/>
    <w:qFormat/>
    <w:uiPriority w:val="34"/>
    <w:pPr>
      <w:ind w:firstLine="420" w:firstLineChars="200"/>
    </w:pPr>
  </w:style>
  <w:style w:type="paragraph" w:customStyle="1" w:styleId="24">
    <w:name w:val="Char"/>
    <w:basedOn w:val="1"/>
    <w:qFormat/>
    <w:uiPriority w:val="0"/>
    <w:rPr>
      <w:rFonts w:ascii="Tahoma" w:hAnsi="Tahoma" w:eastAsia="宋体" w:cs="Times New Roman"/>
      <w:sz w:val="24"/>
      <w:szCs w:val="20"/>
    </w:rPr>
  </w:style>
  <w:style w:type="paragraph" w:customStyle="1" w:styleId="25">
    <w:name w:val="Char Char Char Char1 Char Char Char Char Char Char Char Char Char Char Char Char Char Char Char Char Char"/>
    <w:basedOn w:val="1"/>
    <w:qFormat/>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6">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7">
    <w:name w:val="p0{858D7CFB-ED40-4347-BF05-701D383B685F}"/>
    <w:link w:val="28"/>
    <w:qFormat/>
    <w:uiPriority w:val="0"/>
    <w:rPr>
      <w:szCs w:val="21"/>
    </w:rPr>
  </w:style>
  <w:style w:type="paragraph" w:customStyle="1" w:styleId="28">
    <w:name w:val="p0"/>
    <w:basedOn w:val="1"/>
    <w:link w:val="27"/>
    <w:qFormat/>
    <w:uiPriority w:val="0"/>
    <w:pPr>
      <w:widowControl/>
    </w:pPr>
    <w:rPr>
      <w:szCs w:val="21"/>
    </w:rPr>
  </w:style>
  <w:style w:type="character" w:customStyle="1" w:styleId="29">
    <w:name w:val="标题 Char"/>
    <w:link w:val="12"/>
    <w:qFormat/>
    <w:uiPriority w:val="0"/>
    <w:rPr>
      <w:rFonts w:ascii="Cambria" w:hAnsi="Cambria"/>
      <w:b/>
      <w:bCs/>
      <w:sz w:val="32"/>
      <w:szCs w:val="32"/>
    </w:rPr>
  </w:style>
  <w:style w:type="character" w:customStyle="1" w:styleId="30">
    <w:name w:val="文档结构图 Char"/>
    <w:link w:val="2"/>
    <w:qFormat/>
    <w:uiPriority w:val="0"/>
    <w:rPr>
      <w:rFonts w:ascii="宋体"/>
      <w:sz w:val="18"/>
      <w:szCs w:val="18"/>
    </w:rPr>
  </w:style>
  <w:style w:type="character" w:customStyle="1" w:styleId="31">
    <w:name w:val="副标题 Char"/>
    <w:link w:val="10"/>
    <w:qFormat/>
    <w:uiPriority w:val="11"/>
    <w:rPr>
      <w:rFonts w:ascii="Cambria" w:hAnsi="Cambria"/>
      <w:b/>
      <w:bCs/>
      <w:kern w:val="28"/>
      <w:sz w:val="32"/>
      <w:szCs w:val="32"/>
    </w:rPr>
  </w:style>
  <w:style w:type="character" w:customStyle="1" w:styleId="32">
    <w:name w:val="正文文本缩进 2 Char"/>
    <w:link w:val="5"/>
    <w:qFormat/>
    <w:uiPriority w:val="0"/>
    <w:rPr>
      <w:rFonts w:ascii="楷体_GB2312" w:hAnsi="Courier New" w:eastAsia="楷体_GB2312"/>
      <w:sz w:val="32"/>
    </w:rPr>
  </w:style>
  <w:style w:type="character" w:customStyle="1" w:styleId="33">
    <w:name w:val="文档结构图 Char1"/>
    <w:basedOn w:val="15"/>
    <w:link w:val="2"/>
    <w:semiHidden/>
    <w:qFormat/>
    <w:uiPriority w:val="99"/>
    <w:rPr>
      <w:rFonts w:ascii="宋体" w:eastAsia="宋体"/>
      <w:sz w:val="18"/>
      <w:szCs w:val="18"/>
    </w:rPr>
  </w:style>
  <w:style w:type="character" w:customStyle="1" w:styleId="34">
    <w:name w:val="正文文本缩进 2 Char1"/>
    <w:basedOn w:val="15"/>
    <w:link w:val="5"/>
    <w:semiHidden/>
    <w:qFormat/>
    <w:uiPriority w:val="99"/>
  </w:style>
  <w:style w:type="character" w:customStyle="1" w:styleId="35">
    <w:name w:val="标题 Char1"/>
    <w:basedOn w:val="15"/>
    <w:link w:val="12"/>
    <w:qFormat/>
    <w:uiPriority w:val="10"/>
    <w:rPr>
      <w:rFonts w:eastAsia="宋体" w:asciiTheme="majorHAnsi" w:hAnsiTheme="majorHAnsi" w:cstheme="majorBidi"/>
      <w:b/>
      <w:bCs/>
      <w:sz w:val="32"/>
      <w:szCs w:val="32"/>
    </w:rPr>
  </w:style>
  <w:style w:type="character" w:customStyle="1" w:styleId="36">
    <w:name w:val="副标题 Char1"/>
    <w:basedOn w:val="15"/>
    <w:link w:val="10"/>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I:\&#36130;&#21153;\&#20915;&#31639;\2020&#20915;&#31639;\2020&#24180;&#20915;&#31639;&#20844;&#24320;%20&#20132;&#36130;&#25919;&#23616;\&#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I:\2020&#24180;&#20915;&#31639;&#20844;&#24320;%20(1)\&#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user/KINGSTON/&#36130;&#21153;/&#20915;&#31639;/2020&#20915;&#31639;/2020&#24180;&#20915;&#31639;&#20844;&#24320;%20&#20132;&#36130;&#25919;&#23616;/&#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I:\2020&#24180;&#20915;&#31639;&#20844;&#24320;%20(1)\&#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I:\&#36130;&#21153;\&#20915;&#31639;\2020&#20915;&#31639;\2020&#24180;&#20915;&#31639;&#20844;&#24320;%20&#20132;&#36130;&#25919;&#23616;\&#22270;&#244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22270;&#244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5827048768225"/>
          <c:y val="0.18974358974359"/>
          <c:w val="0.90465057817999"/>
          <c:h val="0.695824175824176"/>
        </c:manualLayout>
      </c:layout>
      <c:barChart>
        <c:barDir val="col"/>
        <c:grouping val="clustered"/>
        <c:varyColors val="0"/>
        <c:ser>
          <c:idx val="0"/>
          <c:order val="0"/>
          <c:tx>
            <c:strRef>
              <c:f>[图形.xlsx]收支总计!$D$6</c:f>
              <c:strCache>
                <c:ptCount val="1"/>
                <c:pt idx="0">
                  <c:v>收支总计</c:v>
                </c:pt>
              </c:strCache>
            </c:strRef>
          </c:tx>
          <c:spPr>
            <a:solidFill>
              <a:schemeClr val="accent1"/>
            </a:solidFill>
            <a:ln>
              <a:noFill/>
            </a:ln>
            <a:effectLst/>
          </c:spPr>
          <c:invertIfNegative val="0"/>
          <c:dPt>
            <c:idx val="1"/>
            <c:invertIfNegative val="0"/>
            <c:bubble3D val="0"/>
            <c:spPr>
              <a:solidFill>
                <a:srgbClr val="C0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[图形.xlsx]收支总计!$C$7:$C$8</c:f>
              <c:numCache>
                <c:formatCode>General</c:formatCode>
                <c:ptCount val="2"/>
                <c:pt idx="0">
                  <c:v>2019</c:v>
                </c:pt>
                <c:pt idx="1">
                  <c:v>2020</c:v>
                </c:pt>
              </c:numCache>
            </c:numRef>
          </c:cat>
          <c:val>
            <c:numRef>
              <c:f>[图形.xlsx]收支总计!$D$7:$D$8</c:f>
              <c:numCache>
                <c:formatCode>General</c:formatCode>
                <c:ptCount val="2"/>
                <c:pt idx="0">
                  <c:v>551.15</c:v>
                </c:pt>
                <c:pt idx="1">
                  <c:v>442.16</c:v>
                </c:pt>
              </c:numCache>
            </c:numRef>
          </c:val>
        </c:ser>
        <c:dLbls>
          <c:showLegendKey val="0"/>
          <c:showVal val="1"/>
          <c:showCatName val="0"/>
          <c:showSerName val="0"/>
          <c:showPercent val="0"/>
          <c:showBubbleSize val="0"/>
        </c:dLbls>
        <c:gapWidth val="219"/>
        <c:overlap val="-27"/>
        <c:axId val="387880629"/>
        <c:axId val="947548787"/>
      </c:barChart>
      <c:catAx>
        <c:axId val="3878806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548787"/>
        <c:crosses val="autoZero"/>
        <c:auto val="1"/>
        <c:lblAlgn val="ctr"/>
        <c:lblOffset val="100"/>
        <c:noMultiLvlLbl val="0"/>
      </c:catAx>
      <c:valAx>
        <c:axId val="9475487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8806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[图形.xlsx]收入决算!$D$8</c:f>
              <c:strCache>
                <c:ptCount val="1"/>
                <c:pt idx="0">
                  <c:v>收入决算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财政拨款收入占100%</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[图形.xlsx]收入决算!$C$9:$C$14</c:f>
              <c:strCache>
                <c:ptCount val="6"/>
                <c:pt idx="0">
                  <c:v>财政拨款收入</c:v>
                </c:pt>
                <c:pt idx="1">
                  <c:v>上级补助</c:v>
                </c:pt>
                <c:pt idx="2">
                  <c:v>事业收入</c:v>
                </c:pt>
                <c:pt idx="3">
                  <c:v>经营收入</c:v>
                </c:pt>
                <c:pt idx="4">
                  <c:v>附属单位上缴收入</c:v>
                </c:pt>
                <c:pt idx="5">
                  <c:v>其他收入</c:v>
                </c:pt>
              </c:strCache>
            </c:strRef>
          </c:cat>
          <c:val>
            <c:numRef>
              <c:f>[图形.xlsx]收入决算!$D$9:$D$14</c:f>
              <c:numCache>
                <c:formatCode>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[图形.xlsx]支出!$D$8</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71</a:t>
                    </a:r>
                    <a:r>
                      <a:rPr lang="en-US" altLang="zh-CN"/>
                      <a:t>.29</a:t>
                    </a:r>
                    <a:r>
                      <a:t>%</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a:t>
                    </a:r>
                    <a:r>
                      <a:rPr lang="en-US" altLang="zh-CN"/>
                      <a:t>8.71</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[图形.xlsx]支出!$C$9:$C$14</c:f>
              <c:strCache>
                <c:ptCount val="6"/>
                <c:pt idx="0">
                  <c:v>基本支出</c:v>
                </c:pt>
                <c:pt idx="1">
                  <c:v>项目支出</c:v>
                </c:pt>
                <c:pt idx="2">
                  <c:v>上缴上级支出</c:v>
                </c:pt>
                <c:pt idx="3">
                  <c:v>经营支出</c:v>
                </c:pt>
                <c:pt idx="4">
                  <c:v>对附属单位补助支出</c:v>
                </c:pt>
              </c:strCache>
            </c:strRef>
          </c:cat>
          <c:val>
            <c:numRef>
              <c:f>[图形.xlsx]支出!$D$9:$D$14</c:f>
              <c:numCache>
                <c:formatCode>General</c:formatCode>
                <c:ptCount val="6"/>
                <c:pt idx="0">
                  <c:v>314.44</c:v>
                </c:pt>
                <c:pt idx="1">
                  <c:v>126.62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[图形.xlsx]收支总计!$D$6</c:f>
              <c:strCache>
                <c:ptCount val="1"/>
                <c:pt idx="0">
                  <c:v>收支总计</c:v>
                </c:pt>
              </c:strCache>
            </c:strRef>
          </c:tx>
          <c:spPr>
            <a:solidFill>
              <a:srgbClr val="C00000"/>
            </a:solidFill>
            <a:ln>
              <a:noFill/>
            </a:ln>
            <a:effectLst/>
          </c:spPr>
          <c:invertIfNegative val="0"/>
          <c:dPt>
            <c:idx val="0"/>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[图形.xlsx]收支总计!$C$7:$C$8</c:f>
              <c:numCache>
                <c:formatCode>General</c:formatCode>
                <c:ptCount val="2"/>
                <c:pt idx="0">
                  <c:v>2019</c:v>
                </c:pt>
                <c:pt idx="1">
                  <c:v>2020</c:v>
                </c:pt>
              </c:numCache>
            </c:numRef>
          </c:cat>
          <c:val>
            <c:numRef>
              <c:f>[图形.xlsx]收支总计!$D$7:$D$8</c:f>
              <c:numCache>
                <c:formatCode>General</c:formatCode>
                <c:ptCount val="2"/>
                <c:pt idx="0">
                  <c:v>632.27</c:v>
                </c:pt>
                <c:pt idx="1">
                  <c:v>616.15</c:v>
                </c:pt>
              </c:numCache>
            </c:numRef>
          </c:val>
        </c:ser>
        <c:dLbls>
          <c:showLegendKey val="0"/>
          <c:showVal val="1"/>
          <c:showCatName val="0"/>
          <c:showSerName val="0"/>
          <c:showPercent val="0"/>
          <c:showBubbleSize val="0"/>
        </c:dLbls>
        <c:gapWidth val="219"/>
        <c:overlap val="-27"/>
        <c:axId val="387880629"/>
        <c:axId val="947548787"/>
      </c:barChart>
      <c:catAx>
        <c:axId val="3878806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548787"/>
        <c:crosses val="autoZero"/>
        <c:auto val="1"/>
        <c:lblAlgn val="ctr"/>
        <c:lblOffset val="100"/>
        <c:noMultiLvlLbl val="0"/>
      </c:catAx>
      <c:valAx>
        <c:axId val="9475487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8806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[图形.xlsx]财政拨款支出!$D$6</c:f>
              <c:strCache>
                <c:ptCount val="1"/>
                <c:pt idx="0">
                  <c:v>财政拨款支出</c:v>
                </c:pt>
              </c:strCache>
            </c:strRef>
          </c:tx>
          <c:spPr>
            <a:solidFill>
              <a:schemeClr val="accent2"/>
            </a:solidFill>
            <a:ln>
              <a:noFill/>
            </a:ln>
            <a:effectLst/>
          </c:spPr>
          <c:invertIfNegative val="0"/>
          <c:dPt>
            <c:idx val="0"/>
            <c:invertIfNegative val="0"/>
            <c:bubble3D val="0"/>
            <c:spPr>
              <a:solidFill>
                <a:srgbClr val="0070C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[图形.xlsx]财政拨款支出!$C$7:$C$8</c:f>
              <c:numCache>
                <c:formatCode>General</c:formatCode>
                <c:ptCount val="2"/>
                <c:pt idx="0">
                  <c:v>2019</c:v>
                </c:pt>
                <c:pt idx="1">
                  <c:v>2020</c:v>
                </c:pt>
              </c:numCache>
            </c:numRef>
          </c:cat>
          <c:val>
            <c:numRef>
              <c:f>[图形.xlsx]财政拨款支出!$D$7:$D$8</c:f>
              <c:numCache>
                <c:formatCode>General</c:formatCode>
                <c:ptCount val="2"/>
                <c:pt idx="0">
                  <c:v>533.17</c:v>
                </c:pt>
                <c:pt idx="1">
                  <c:v>441.06</c:v>
                </c:pt>
              </c:numCache>
            </c:numRef>
          </c:val>
        </c:ser>
        <c:dLbls>
          <c:showLegendKey val="0"/>
          <c:showVal val="1"/>
          <c:showCatName val="0"/>
          <c:showSerName val="0"/>
          <c:showPercent val="0"/>
          <c:showBubbleSize val="0"/>
        </c:dLbls>
        <c:gapWidth val="219"/>
        <c:overlap val="-27"/>
        <c:axId val="387880629"/>
        <c:axId val="947548787"/>
      </c:barChart>
      <c:catAx>
        <c:axId val="3878806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7548787"/>
        <c:crosses val="autoZero"/>
        <c:auto val="1"/>
        <c:lblAlgn val="ctr"/>
        <c:lblOffset val="100"/>
        <c:noMultiLvlLbl val="0"/>
      </c:catAx>
      <c:valAx>
        <c:axId val="9475487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88062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[图形.xlsx]收入决算!$D$8</c:f>
              <c:strCache>
                <c:ptCount val="1"/>
                <c:pt idx="0">
                  <c:v>收入决算</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8.66903082099826e-7"/>
                  <c:y val="-0.15470124406743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一般公共服务支出占100%</a:t>
                    </a: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[图形.xlsx]收入决算!$C$9:$C$14</c:f>
              <c:strCache>
                <c:ptCount val="6"/>
                <c:pt idx="0">
                  <c:v>财政拨款</c:v>
                </c:pt>
                <c:pt idx="1">
                  <c:v>上级补助</c:v>
                </c:pt>
                <c:pt idx="2">
                  <c:v>事业收入</c:v>
                </c:pt>
                <c:pt idx="3">
                  <c:v>经营收入</c:v>
                </c:pt>
                <c:pt idx="4">
                  <c:v>附属单位上缴收入</c:v>
                </c:pt>
                <c:pt idx="5">
                  <c:v>其他收入</c:v>
                </c:pt>
              </c:strCache>
            </c:strRef>
          </c:cat>
          <c:val>
            <c:numRef>
              <c:f>[图形.xlsx]收入决算!$D$9:$D$14</c:f>
              <c:numCache>
                <c:formatCode>General</c:formatCode>
                <c:ptCount val="6"/>
                <c:pt idx="0">
                  <c:v>808.27</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57</Pages>
  <Words>3570</Words>
  <Characters>20351</Characters>
  <Lines>169</Lines>
  <Paragraphs>47</Paragraphs>
  <TotalTime>15</TotalTime>
  <ScaleCrop>false</ScaleCrop>
  <LinksUpToDate>false</LinksUpToDate>
  <CharactersWithSpaces>23874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2013-10-29T04:29:00Z</dcterms:created>
  <dc:creator>微软用户</dc:creator>
  <cp:lastModifiedBy>班昌波</cp:lastModifiedBy>
  <cp:lastPrinted>2021-08-27T08:50:00Z</cp:lastPrinted>
  <dcterms:modified xsi:type="dcterms:W3CDTF">2024-01-15T06:52:45Z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A9C3D74ED23D48DFB7870F5DE4595E74_12</vt:lpwstr>
  </property>
</Properties>
</file>