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简体" w:cs="方正仿宋简体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  <w:t>市外办“</w:t>
      </w: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公开接访</w:t>
      </w: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  <w:t>周”值班表</w:t>
      </w:r>
      <w:bookmarkEnd w:id="0"/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645"/>
        <w:gridCol w:w="3205"/>
        <w:gridCol w:w="22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接访领导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领导职务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承办科室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接访地点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3月6日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王昌贯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市外办党组书记、主任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3月7日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阮林敬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市外办三级调研员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3月8日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李华光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市外办党组成员、副主任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因公出国管理科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涉外管理科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3月9日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朱  婕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市外办党组成员、副主任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礼宾科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3月10日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王大磊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市外办四级调研员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3月13日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于德刚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市友协办主任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综合科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翻译科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交流合作科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国际友城科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C723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797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TdlNTA5MzM3ZDc3N2IyYTRmMjkyM2JjZmQyNDIifQ=="/>
  </w:docVars>
  <w:rsids>
    <w:rsidRoot w:val="4B6B2F3F"/>
    <w:rsid w:val="4B6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2023-02-27T07:58:00Z</dcterms:created>
  <dc:creator>ZNZ</dc:creator>
  <cp:lastModifiedBy>ZNZ</cp:lastModifiedBy>
  <dcterms:modified xsi:type="dcterms:W3CDTF">2023-02-27T07:58:48Z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1A34E4183F19429F8FB359306C226B09</vt:lpwstr>
  </property>
</Properties>
</file>